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4848" w:rsidRPr="00091D01" w:rsidRDefault="00590A25" w:rsidP="003433BA">
      <w:pPr>
        <w:pStyle w:val="e-Heading1"/>
        <w:spacing w:line="360" w:lineRule="atLeast"/>
        <w:rPr>
          <w:sz w:val="28"/>
          <w:szCs w:val="28"/>
          <w:lang w:val="cs-CZ"/>
        </w:rPr>
      </w:pPr>
      <w:r>
        <w:rPr>
          <w:sz w:val="28"/>
          <w:szCs w:val="28"/>
        </w:rPr>
        <w:t>SERGEY SLOBODYAN</w:t>
      </w:r>
      <w:r w:rsidR="00034848" w:rsidRPr="00091D01">
        <w:rPr>
          <w:sz w:val="28"/>
          <w:szCs w:val="28"/>
        </w:rPr>
        <w:t>, Ph.D.: Seznam publikací</w:t>
      </w:r>
    </w:p>
    <w:p w:rsidR="00034848" w:rsidRPr="00091D01" w:rsidRDefault="00AF1A82" w:rsidP="003433BA">
      <w:pPr>
        <w:pStyle w:val="A-head-2"/>
        <w:numPr>
          <w:ilvl w:val="0"/>
          <w:numId w:val="0"/>
        </w:numPr>
        <w:jc w:val="left"/>
      </w:pPr>
      <w:r>
        <w:t xml:space="preserve">C) </w:t>
      </w:r>
      <w:r>
        <w:tab/>
        <w:t>Původní vědecké práce</w:t>
      </w:r>
    </w:p>
    <w:p w:rsidR="00034848" w:rsidRPr="00BC7B7F" w:rsidRDefault="00034848" w:rsidP="003433BA">
      <w:pPr>
        <w:spacing w:before="360" w:line="360" w:lineRule="atLeast"/>
        <w:ind w:left="426" w:hanging="426"/>
        <w:rPr>
          <w:b/>
          <w:bCs/>
          <w:lang w:val="pl-PL"/>
        </w:rPr>
      </w:pPr>
      <w:r w:rsidRPr="00BC7B7F">
        <w:rPr>
          <w:b/>
          <w:bCs/>
          <w:lang w:val="pl-PL"/>
        </w:rPr>
        <w:t xml:space="preserve">C1) </w:t>
      </w:r>
      <w:r w:rsidRPr="00BC7B7F">
        <w:rPr>
          <w:b/>
          <w:bCs/>
          <w:lang w:val="pl-PL"/>
        </w:rPr>
        <w:tab/>
        <w:t>Články v časopisech s impakt faktorem</w:t>
      </w:r>
    </w:p>
    <w:p w:rsidR="009A1D57" w:rsidRPr="00BC7B7F" w:rsidRDefault="009A1D57" w:rsidP="00250793">
      <w:pPr>
        <w:numPr>
          <w:ilvl w:val="0"/>
          <w:numId w:val="1"/>
        </w:numPr>
        <w:tabs>
          <w:tab w:val="clear" w:pos="811"/>
          <w:tab w:val="num" w:pos="709"/>
        </w:tabs>
        <w:spacing w:line="360" w:lineRule="atLeast"/>
        <w:ind w:left="709"/>
      </w:pPr>
      <w:r w:rsidRPr="00BC7B7F">
        <w:t>SLOBODYAN, S. Pitfalls of Coordination?</w:t>
      </w:r>
      <w:r w:rsidR="009238C5">
        <w:t>.</w:t>
      </w:r>
      <w:r w:rsidRPr="00BC7B7F">
        <w:t xml:space="preserve"> </w:t>
      </w:r>
      <w:r w:rsidRPr="00BC7B7F">
        <w:rPr>
          <w:i/>
        </w:rPr>
        <w:t>International Journal of Central Banking</w:t>
      </w:r>
      <w:r w:rsidRPr="00BC7B7F">
        <w:t xml:space="preserve">, 2018, </w:t>
      </w:r>
      <w:r w:rsidR="001D614E" w:rsidRPr="00BC7B7F">
        <w:t>Ro</w:t>
      </w:r>
      <w:r w:rsidR="001D614E" w:rsidRPr="00BC7B7F">
        <w:rPr>
          <w:lang w:val="cs-CZ"/>
        </w:rPr>
        <w:t xml:space="preserve">č. 14, č. 3, s. </w:t>
      </w:r>
      <w:r w:rsidR="001D614E" w:rsidRPr="00BC7B7F">
        <w:t>337-346. ISSN 1815-4654. IF 0.975</w:t>
      </w:r>
      <w:r w:rsidR="00A9316D" w:rsidRPr="00BC7B7F">
        <w:t>. [100%]</w:t>
      </w:r>
    </w:p>
    <w:p w:rsidR="00250793" w:rsidRPr="00520BD1" w:rsidRDefault="00B307A7" w:rsidP="00250793">
      <w:pPr>
        <w:numPr>
          <w:ilvl w:val="0"/>
          <w:numId w:val="1"/>
        </w:numPr>
        <w:tabs>
          <w:tab w:val="clear" w:pos="811"/>
          <w:tab w:val="num" w:pos="709"/>
        </w:tabs>
        <w:spacing w:line="360" w:lineRule="atLeast"/>
        <w:ind w:left="709"/>
      </w:pPr>
      <w:r w:rsidRPr="00BC7B7F">
        <w:t>SLOBODYAN, S. ; BOGOMOLOVA, A. ; KO</w:t>
      </w:r>
      <w:r w:rsidRPr="00BC7B7F">
        <w:rPr>
          <w:lang w:val="cs-CZ"/>
        </w:rPr>
        <w:t>LYUZHNOV, D.</w:t>
      </w:r>
      <w:r w:rsidR="00250793" w:rsidRPr="00BC7B7F">
        <w:t xml:space="preserve"> Stochastic</w:t>
      </w:r>
      <w:r w:rsidR="00250793" w:rsidRPr="00520BD1">
        <w:t xml:space="preserve"> gradient learning and instability: an example. </w:t>
      </w:r>
      <w:r w:rsidR="00250793" w:rsidRPr="00520BD1">
        <w:rPr>
          <w:i/>
        </w:rPr>
        <w:t>Macroeconomic Dynamics</w:t>
      </w:r>
      <w:r w:rsidR="00250793">
        <w:rPr>
          <w:i/>
        </w:rPr>
        <w:t xml:space="preserve">, </w:t>
      </w:r>
      <w:r w:rsidR="00250793">
        <w:t>2016, Roč. 20, č. 3, s. 777-790. ISSN 1365-1005</w:t>
      </w:r>
      <w:r w:rsidR="00250793" w:rsidRPr="00520BD1">
        <w:rPr>
          <w:i/>
        </w:rPr>
        <w:t>.</w:t>
      </w:r>
      <w:r w:rsidR="00250793">
        <w:t xml:space="preserve"> IF 0</w:t>
      </w:r>
      <w:r>
        <w:t>.</w:t>
      </w:r>
      <w:r w:rsidR="00250793">
        <w:t>718. [33%]</w:t>
      </w:r>
      <w:r w:rsidR="00F13D2E">
        <w:t xml:space="preserve"> </w:t>
      </w:r>
      <w:r w:rsidR="006738E2">
        <w:rPr>
          <w:lang w:val="cs-CZ"/>
        </w:rPr>
        <w:t>korespondenční autor</w:t>
      </w:r>
    </w:p>
    <w:p w:rsidR="00250793" w:rsidRPr="00520BD1" w:rsidRDefault="00250793" w:rsidP="00250793">
      <w:pPr>
        <w:pStyle w:val="ER-OtherV"/>
        <w:jc w:val="left"/>
      </w:pPr>
      <w:r w:rsidRPr="00520BD1">
        <w:t xml:space="preserve">Other versions: </w:t>
      </w:r>
    </w:p>
    <w:p w:rsidR="00250793" w:rsidRDefault="00250793" w:rsidP="00250793">
      <w:pPr>
        <w:spacing w:line="360" w:lineRule="atLeast"/>
        <w:ind w:left="709"/>
      </w:pPr>
      <w:r w:rsidRPr="00520BD1">
        <w:t xml:space="preserve">Stochastic gradient versus recursive least squares learning. </w:t>
      </w:r>
      <w:r w:rsidRPr="00520BD1">
        <w:rPr>
          <w:rStyle w:val="Emphasis"/>
        </w:rPr>
        <w:t>CERGE-EI Working Paper Series</w:t>
      </w:r>
      <w:r w:rsidRPr="00520BD1">
        <w:t xml:space="preserve">, 2006, -, č. 309, s. 1-21. ISSN 1211-3298. </w:t>
      </w:r>
      <w:hyperlink r:id="rId7" w:history="1">
        <w:r w:rsidR="007A6E3B" w:rsidRPr="0056666E">
          <w:rPr>
            <w:rStyle w:val="Hyperlink"/>
          </w:rPr>
          <w:t>http://www.cerge-ei.cz/pdf/wp/Wp309.pdf</w:t>
        </w:r>
      </w:hyperlink>
    </w:p>
    <w:p w:rsidR="00E0371C" w:rsidRPr="00AD3137" w:rsidRDefault="00E0371C" w:rsidP="003433BA">
      <w:pPr>
        <w:numPr>
          <w:ilvl w:val="0"/>
          <w:numId w:val="1"/>
        </w:numPr>
        <w:tabs>
          <w:tab w:val="clear" w:pos="811"/>
          <w:tab w:val="num" w:pos="709"/>
        </w:tabs>
        <w:spacing w:line="360" w:lineRule="atLeast"/>
        <w:ind w:left="709"/>
      </w:pPr>
      <w:r w:rsidRPr="00AD3137">
        <w:rPr>
          <w:color w:val="222222"/>
          <w:shd w:val="clear" w:color="auto" w:fill="FFFFFF"/>
        </w:rPr>
        <w:t>JERBASHIAN, V. ; SLOBODYAN, S. ; VOURVACHAKI, E. Specific and general human capital in an endogenous growth model. </w:t>
      </w:r>
      <w:r w:rsidRPr="00AD3137">
        <w:rPr>
          <w:rStyle w:val="Emphasis"/>
          <w:color w:val="222222"/>
          <w:bdr w:val="none" w:sz="0" w:space="0" w:color="auto" w:frame="1"/>
          <w:shd w:val="clear" w:color="auto" w:fill="FFFFFF"/>
        </w:rPr>
        <w:t>Eastern European Economics. </w:t>
      </w:r>
      <w:r w:rsidRPr="00AD3137">
        <w:rPr>
          <w:color w:val="222222"/>
          <w:shd w:val="clear" w:color="auto" w:fill="FFFFFF"/>
        </w:rPr>
        <w:t xml:space="preserve">2015, Roč. 53, č. 3, s. 167-204. ISSN 0012-8775. IF </w:t>
      </w:r>
      <w:r w:rsidR="00C947F7" w:rsidRPr="00AD3137">
        <w:rPr>
          <w:color w:val="222222"/>
          <w:shd w:val="clear" w:color="auto" w:fill="FFFFFF"/>
        </w:rPr>
        <w:t>0.</w:t>
      </w:r>
      <w:r w:rsidRPr="00AD3137">
        <w:rPr>
          <w:color w:val="222222"/>
          <w:shd w:val="clear" w:color="auto" w:fill="FFFFFF"/>
        </w:rPr>
        <w:t>404.</w:t>
      </w:r>
      <w:r w:rsidR="00943E3A" w:rsidRPr="00AD3137">
        <w:rPr>
          <w:color w:val="222222"/>
          <w:shd w:val="clear" w:color="auto" w:fill="FFFFFF"/>
        </w:rPr>
        <w:t xml:space="preserve"> [33%]</w:t>
      </w:r>
      <w:r w:rsidR="00AD3137" w:rsidRPr="00AD3137">
        <w:rPr>
          <w:color w:val="222222"/>
          <w:shd w:val="clear" w:color="auto" w:fill="FFFFFF"/>
        </w:rPr>
        <w:t xml:space="preserve"> korespondenční autor</w:t>
      </w:r>
    </w:p>
    <w:p w:rsidR="00430E69" w:rsidRPr="00430E69" w:rsidRDefault="00430E69" w:rsidP="00430E69">
      <w:pPr>
        <w:spacing w:line="360" w:lineRule="atLeast"/>
        <w:ind w:firstLine="709"/>
        <w:rPr>
          <w:color w:val="222222"/>
          <w:shd w:val="clear" w:color="auto" w:fill="FFFFFF"/>
        </w:rPr>
      </w:pPr>
      <w:r w:rsidRPr="00430E69">
        <w:rPr>
          <w:color w:val="222222"/>
          <w:shd w:val="clear" w:color="auto" w:fill="FFFFFF"/>
        </w:rPr>
        <w:t>Other versions:</w:t>
      </w:r>
    </w:p>
    <w:p w:rsidR="00430E69" w:rsidRPr="00E0371C" w:rsidRDefault="00430E69" w:rsidP="00E6583E">
      <w:pPr>
        <w:spacing w:line="360" w:lineRule="atLeast"/>
        <w:ind w:left="709"/>
      </w:pPr>
      <w:r w:rsidRPr="00430E69">
        <w:rPr>
          <w:lang w:val="cs-CZ"/>
        </w:rPr>
        <w:t xml:space="preserve">Prague: CERGE-EI, 2014. 44 s. CERGE-EI Working Papers Series, 520. ISSN 1211-3298. Dostupné z: </w:t>
      </w:r>
      <w:hyperlink r:id="rId8" w:history="1">
        <w:r w:rsidRPr="00430E69">
          <w:rPr>
            <w:rStyle w:val="Hyperlink"/>
            <w:lang w:val="cs-CZ"/>
          </w:rPr>
          <w:t>http://www.cerge-ei.cz/pdf/wp/wp520.pdf</w:t>
        </w:r>
      </w:hyperlink>
    </w:p>
    <w:p w:rsidR="00F3660D" w:rsidRPr="00AD3137" w:rsidRDefault="00623169" w:rsidP="003433BA">
      <w:pPr>
        <w:numPr>
          <w:ilvl w:val="0"/>
          <w:numId w:val="1"/>
        </w:numPr>
        <w:tabs>
          <w:tab w:val="clear" w:pos="811"/>
          <w:tab w:val="num" w:pos="709"/>
        </w:tabs>
        <w:spacing w:line="360" w:lineRule="atLeast"/>
        <w:ind w:left="709"/>
      </w:pPr>
      <w:r w:rsidRPr="00AD3137">
        <w:t>KOLYUZHNOV, D. ; BOGOMOLOVA, A. ; SLOBODYAN, S.</w:t>
      </w:r>
      <w:r w:rsidR="00F3660D" w:rsidRPr="00AD3137">
        <w:t xml:space="preserve"> </w:t>
      </w:r>
      <w:r w:rsidR="00157B4B" w:rsidRPr="00AD3137">
        <w:t>Escape dynamics: a continuous–time approxi</w:t>
      </w:r>
      <w:r w:rsidR="00F3660D" w:rsidRPr="00AD3137">
        <w:t>mation</w:t>
      </w:r>
      <w:r w:rsidR="00F3660D" w:rsidRPr="00AD3137">
        <w:rPr>
          <w:i/>
        </w:rPr>
        <w:t xml:space="preserve">. Journal of Economic Dynamics </w:t>
      </w:r>
      <w:r w:rsidRPr="00AD3137">
        <w:rPr>
          <w:i/>
        </w:rPr>
        <w:t>&amp;</w:t>
      </w:r>
      <w:r w:rsidR="00F3660D" w:rsidRPr="00AD3137">
        <w:rPr>
          <w:i/>
        </w:rPr>
        <w:t xml:space="preserve"> Control</w:t>
      </w:r>
      <w:r w:rsidR="00D7263F" w:rsidRPr="00AD3137">
        <w:t>, 2014, Roč. 38, -</w:t>
      </w:r>
      <w:r w:rsidR="00A13B1D" w:rsidRPr="00AD3137">
        <w:t>, s. 161-183</w:t>
      </w:r>
      <w:r w:rsidR="00F3660D" w:rsidRPr="00AD3137">
        <w:t>.</w:t>
      </w:r>
      <w:r w:rsidR="00A504A3" w:rsidRPr="00AD3137">
        <w:t xml:space="preserve"> </w:t>
      </w:r>
      <w:r w:rsidR="00A13B1D" w:rsidRPr="00AD3137">
        <w:t xml:space="preserve">ISSN 0165-1889. IF </w:t>
      </w:r>
      <w:r w:rsidR="00C947F7" w:rsidRPr="00AD3137">
        <w:t>1.</w:t>
      </w:r>
      <w:r w:rsidR="00A13B1D" w:rsidRPr="00AD3137">
        <w:t>018</w:t>
      </w:r>
      <w:r w:rsidR="00157B4B" w:rsidRPr="00AD3137">
        <w:t xml:space="preserve">. </w:t>
      </w:r>
      <w:r w:rsidR="00A504A3" w:rsidRPr="00AD3137">
        <w:t>[</w:t>
      </w:r>
      <w:r w:rsidR="002A1081" w:rsidRPr="00AD3137">
        <w:t>33%</w:t>
      </w:r>
      <w:r w:rsidR="00A504A3" w:rsidRPr="00AD3137">
        <w:t>]</w:t>
      </w:r>
      <w:r w:rsidR="00AD3137" w:rsidRPr="00AD3137">
        <w:t xml:space="preserve"> korespondenční autor</w:t>
      </w:r>
    </w:p>
    <w:p w:rsidR="00D138D1" w:rsidRDefault="00D138D1" w:rsidP="003433BA">
      <w:pPr>
        <w:pStyle w:val="ER-OtherV"/>
        <w:jc w:val="left"/>
      </w:pPr>
      <w:r>
        <w:t>Other versions:</w:t>
      </w:r>
    </w:p>
    <w:p w:rsidR="00D138D1" w:rsidRDefault="001836C1" w:rsidP="008652CD">
      <w:pPr>
        <w:pStyle w:val="ER-OtherV"/>
        <w:jc w:val="left"/>
      </w:pPr>
      <w:r>
        <w:rPr>
          <w:rStyle w:val="Emphasis"/>
        </w:rPr>
        <w:t>Prague</w:t>
      </w:r>
      <w:r>
        <w:rPr>
          <w:rStyle w:val="Emphasis"/>
          <w:lang w:val="cs-CZ"/>
        </w:rPr>
        <w:t xml:space="preserve"> : </w:t>
      </w:r>
      <w:r w:rsidR="00D138D1">
        <w:rPr>
          <w:rStyle w:val="Emphasis"/>
        </w:rPr>
        <w:t>CERGE-EI Working Paper Series</w:t>
      </w:r>
      <w:r w:rsidR="00D138D1">
        <w:t xml:space="preserve">, 2006, -, č. 285, s. 1-42. ISSN 1211-3298. </w:t>
      </w:r>
      <w:hyperlink r:id="rId9" w:history="1">
        <w:r w:rsidR="007A6E3B" w:rsidRPr="0056666E">
          <w:rPr>
            <w:rStyle w:val="Hyperlink"/>
          </w:rPr>
          <w:t>http://www.cerge-ei.cz/pdf/wp/Wp285.pdf</w:t>
        </w:r>
      </w:hyperlink>
    </w:p>
    <w:p w:rsidR="0039277F" w:rsidRDefault="0039277F" w:rsidP="00F13D2E">
      <w:pPr>
        <w:pStyle w:val="ER-OtherV"/>
      </w:pPr>
      <w:r w:rsidRPr="0039277F">
        <w:lastRenderedPageBreak/>
        <w:t>Praha : Charles University, Center for Economic Research and Graduate Education, 2005. 34 s. (CERGE-EI Research Seminar Series, 2005 - 2006 : December 2, 2005).</w:t>
      </w:r>
    </w:p>
    <w:p w:rsidR="00D138D1" w:rsidRPr="00AD3137" w:rsidRDefault="00157B4B" w:rsidP="00250793">
      <w:pPr>
        <w:numPr>
          <w:ilvl w:val="0"/>
          <w:numId w:val="1"/>
        </w:numPr>
        <w:tabs>
          <w:tab w:val="clear" w:pos="811"/>
          <w:tab w:val="num" w:pos="709"/>
        </w:tabs>
        <w:spacing w:line="360" w:lineRule="atLeast"/>
        <w:ind w:left="709"/>
      </w:pPr>
      <w:r w:rsidRPr="00AD3137">
        <w:t xml:space="preserve">CHRISTEV, A. </w:t>
      </w:r>
      <w:r w:rsidRPr="00AD3137">
        <w:rPr>
          <w:lang w:val="cs-CZ"/>
        </w:rPr>
        <w:t xml:space="preserve">; SLOBODYAN, S. Learnability of e–stable equilibria. </w:t>
      </w:r>
      <w:r w:rsidRPr="00AD3137">
        <w:rPr>
          <w:i/>
          <w:lang w:val="cs-CZ"/>
        </w:rPr>
        <w:t>Macroeconomic Dynamics</w:t>
      </w:r>
      <w:r w:rsidR="00E16589" w:rsidRPr="00AD3137">
        <w:rPr>
          <w:i/>
          <w:lang w:val="cs-CZ"/>
        </w:rPr>
        <w:t xml:space="preserve">, </w:t>
      </w:r>
      <w:r w:rsidR="00CA3576" w:rsidRPr="00AD3137">
        <w:rPr>
          <w:lang w:val="cs-CZ"/>
        </w:rPr>
        <w:t>2014, Roč. 18, č. 5, s. 959-984. ISSN 1365-1005. IF 0.667</w:t>
      </w:r>
      <w:r w:rsidRPr="00AD3137">
        <w:rPr>
          <w:lang w:val="cs-CZ"/>
        </w:rPr>
        <w:t xml:space="preserve">. </w:t>
      </w:r>
      <w:r w:rsidRPr="00AD3137">
        <w:t>[50%]</w:t>
      </w:r>
      <w:r w:rsidR="00F561BC" w:rsidRPr="00AD3137">
        <w:t xml:space="preserve"> </w:t>
      </w:r>
      <w:r w:rsidR="00AD3137" w:rsidRPr="00AD3137">
        <w:t>korespondenční autor</w:t>
      </w:r>
    </w:p>
    <w:p w:rsidR="00F3660D" w:rsidRPr="0083641D" w:rsidRDefault="00590A25" w:rsidP="00D521FD">
      <w:pPr>
        <w:numPr>
          <w:ilvl w:val="0"/>
          <w:numId w:val="1"/>
        </w:numPr>
        <w:tabs>
          <w:tab w:val="clear" w:pos="811"/>
          <w:tab w:val="num" w:pos="709"/>
        </w:tabs>
        <w:spacing w:line="360" w:lineRule="atLeast"/>
        <w:ind w:left="709"/>
      </w:pPr>
      <w:r>
        <w:t xml:space="preserve">SLOBODYAN, S. ; </w:t>
      </w:r>
      <w:r w:rsidR="00356259">
        <w:t>WOUTERS</w:t>
      </w:r>
      <w:r>
        <w:t xml:space="preserve">, R. Learning in a medium-scale DSGE model with expectations based on small forecasting models. </w:t>
      </w:r>
      <w:r>
        <w:rPr>
          <w:rStyle w:val="Emphasis"/>
        </w:rPr>
        <w:t xml:space="preserve">American Economic </w:t>
      </w:r>
      <w:r w:rsidRPr="0083641D">
        <w:rPr>
          <w:rStyle w:val="Emphasis"/>
        </w:rPr>
        <w:t>Journal: Macroeconomics</w:t>
      </w:r>
      <w:r w:rsidRPr="0083641D">
        <w:t>, 2012, Roč. 4, č. 2, s. 65-101. ISSN 1945-7707.</w:t>
      </w:r>
      <w:r w:rsidR="00D521FD">
        <w:t xml:space="preserve"> IF </w:t>
      </w:r>
      <w:r w:rsidR="00D521FD" w:rsidRPr="00D521FD">
        <w:t>3.191</w:t>
      </w:r>
      <w:r w:rsidR="00D521FD">
        <w:t>. [50%]</w:t>
      </w:r>
      <w:r w:rsidR="00F13D2E">
        <w:t xml:space="preserve"> korespondenční autor</w:t>
      </w:r>
    </w:p>
    <w:p w:rsidR="00F3660D" w:rsidRPr="0083641D" w:rsidRDefault="00356259" w:rsidP="003433BA">
      <w:pPr>
        <w:numPr>
          <w:ilvl w:val="0"/>
          <w:numId w:val="1"/>
        </w:numPr>
        <w:tabs>
          <w:tab w:val="clear" w:pos="811"/>
          <w:tab w:val="num" w:pos="709"/>
        </w:tabs>
        <w:spacing w:line="360" w:lineRule="atLeast"/>
        <w:ind w:left="720"/>
      </w:pPr>
      <w:r w:rsidRPr="0083641D">
        <w:t>SLOBODYAN, S. ; WOUTERS, R</w:t>
      </w:r>
      <w:r w:rsidR="00590A25" w:rsidRPr="0083641D">
        <w:t xml:space="preserve">. Learning in an estimated medium-scale DSGE model. </w:t>
      </w:r>
      <w:r w:rsidR="00590A25" w:rsidRPr="0083641D">
        <w:rPr>
          <w:rStyle w:val="Emphasis"/>
        </w:rPr>
        <w:t>Journal of Economic Dynamics &amp; Control</w:t>
      </w:r>
      <w:r w:rsidR="00590A25" w:rsidRPr="0083641D">
        <w:t>, 2012, Roč. 36, č</w:t>
      </w:r>
      <w:r w:rsidR="00F3660D" w:rsidRPr="0083641D">
        <w:t>. 1, s. 26-46. ISSN 0165-1889.</w:t>
      </w:r>
      <w:r w:rsidR="007A6E3B">
        <w:t xml:space="preserve"> </w:t>
      </w:r>
      <w:r w:rsidR="00D521FD" w:rsidRPr="002A1081">
        <w:t>IF 0.807.</w:t>
      </w:r>
      <w:r w:rsidR="00D521FD">
        <w:t xml:space="preserve"> [50%]</w:t>
      </w:r>
      <w:r w:rsidR="00F13D2E">
        <w:t xml:space="preserve"> korespondenční autor</w:t>
      </w:r>
    </w:p>
    <w:p w:rsidR="005A1877" w:rsidRDefault="005A1877" w:rsidP="005A1877">
      <w:pPr>
        <w:pStyle w:val="ER-OtherV"/>
      </w:pPr>
      <w:r w:rsidRPr="0083641D">
        <w:t>Other versions:</w:t>
      </w:r>
    </w:p>
    <w:p w:rsidR="00520BD1" w:rsidRPr="00520BD1" w:rsidRDefault="00520BD1" w:rsidP="00520BD1">
      <w:pPr>
        <w:pStyle w:val="ER-OtherV"/>
        <w:rPr>
          <w:highlight w:val="green"/>
        </w:rPr>
      </w:pPr>
      <w:r>
        <w:rPr>
          <w:rStyle w:val="Emphasis"/>
        </w:rPr>
        <w:t>CERGE-EI Working Paper Series</w:t>
      </w:r>
      <w:r>
        <w:t xml:space="preserve">, 2009, -, č. 396, s. 1-65. ISSN 1211-3298. </w:t>
      </w:r>
      <w:hyperlink r:id="rId10" w:history="1">
        <w:r w:rsidR="007A6E3B" w:rsidRPr="0056666E">
          <w:rPr>
            <w:rStyle w:val="Hyperlink"/>
          </w:rPr>
          <w:t>http://www.cerge-ei.cz/pdf/wp/Wp396.pdf</w:t>
        </w:r>
      </w:hyperlink>
    </w:p>
    <w:p w:rsidR="00F3660D" w:rsidRDefault="00356259" w:rsidP="00D521FD">
      <w:pPr>
        <w:numPr>
          <w:ilvl w:val="0"/>
          <w:numId w:val="1"/>
        </w:numPr>
        <w:tabs>
          <w:tab w:val="clear" w:pos="811"/>
          <w:tab w:val="num" w:pos="709"/>
        </w:tabs>
        <w:spacing w:line="360" w:lineRule="atLeast"/>
        <w:ind w:left="709"/>
      </w:pPr>
      <w:r>
        <w:t>SLOBODYAN</w:t>
      </w:r>
      <w:r w:rsidR="00590A25">
        <w:t xml:space="preserve">, S. Indeterminacy and stability in a modified Romer model. </w:t>
      </w:r>
      <w:r w:rsidR="00590A25">
        <w:rPr>
          <w:rStyle w:val="Emphasis"/>
        </w:rPr>
        <w:t>Journal of Macroeconomics</w:t>
      </w:r>
      <w:r w:rsidR="00590A25">
        <w:t xml:space="preserve">, 2007, Roč. 29, č. </w:t>
      </w:r>
      <w:r w:rsidR="00F3660D">
        <w:t>1, s. 169-177. ISSN 0164-0704.</w:t>
      </w:r>
      <w:r w:rsidR="00E11B8D">
        <w:t xml:space="preserve"> IF 0.360</w:t>
      </w:r>
      <w:r w:rsidR="00D521FD">
        <w:t xml:space="preserve">. </w:t>
      </w:r>
      <w:r w:rsidR="0039277F">
        <w:t>[100%]</w:t>
      </w:r>
    </w:p>
    <w:p w:rsidR="00A9777C" w:rsidRDefault="00A9777C" w:rsidP="00A9777C">
      <w:pPr>
        <w:pStyle w:val="ER-OtherV"/>
      </w:pPr>
      <w:r>
        <w:t>Other versions:</w:t>
      </w:r>
    </w:p>
    <w:p w:rsidR="00A9777C" w:rsidRDefault="00A9777C" w:rsidP="00A9777C">
      <w:pPr>
        <w:pStyle w:val="ER-OtherV"/>
        <w:rPr>
          <w:rStyle w:val="Hyperlink"/>
        </w:rPr>
      </w:pPr>
      <w:r>
        <w:t xml:space="preserve">Indeterminacy and stability in a modified Romer model: a general case. </w:t>
      </w:r>
      <w:r>
        <w:rPr>
          <w:rStyle w:val="Emphasis"/>
        </w:rPr>
        <w:t>CERGE-EI Working Paper Series</w:t>
      </w:r>
      <w:r>
        <w:t xml:space="preserve">, 2006, -, č. 284, s. 1-16. ISSN </w:t>
      </w:r>
      <w:r w:rsidRPr="00BD3EF6">
        <w:t xml:space="preserve">1211-3298. </w:t>
      </w:r>
      <w:hyperlink r:id="rId11" w:history="1">
        <w:r w:rsidR="007A6E3B" w:rsidRPr="0056666E">
          <w:rPr>
            <w:rStyle w:val="Hyperlink"/>
          </w:rPr>
          <w:t>http://www.cerge-ei.cz/pdf/wp/Wp284.pdf</w:t>
        </w:r>
      </w:hyperlink>
    </w:p>
    <w:p w:rsidR="00814570" w:rsidRDefault="00BD3EF6" w:rsidP="003A4443">
      <w:pPr>
        <w:pStyle w:val="ER-OtherV"/>
        <w:rPr>
          <w:rStyle w:val="Hyperlink"/>
        </w:rPr>
      </w:pPr>
      <w:r>
        <w:rPr>
          <w:rStyle w:val="Emphasis"/>
        </w:rPr>
        <w:t>CERGE-EI Working Paper Series</w:t>
      </w:r>
      <w:r>
        <w:t xml:space="preserve">, 2002, Roč. 2002, č. 205, s. 1-27. ISSN 1211-3298. </w:t>
      </w:r>
      <w:hyperlink r:id="rId12" w:history="1">
        <w:r w:rsidR="007A6E3B" w:rsidRPr="0056666E">
          <w:rPr>
            <w:rStyle w:val="Hyperlink"/>
          </w:rPr>
          <w:t>http://www.cerge-ei.cz/pdf/wp/Wp205.pdf</w:t>
        </w:r>
      </w:hyperlink>
    </w:p>
    <w:p w:rsidR="00F3660D" w:rsidRPr="00AD3137" w:rsidRDefault="00356259" w:rsidP="00D521FD">
      <w:pPr>
        <w:numPr>
          <w:ilvl w:val="0"/>
          <w:numId w:val="1"/>
        </w:numPr>
        <w:tabs>
          <w:tab w:val="clear" w:pos="811"/>
          <w:tab w:val="num" w:pos="709"/>
        </w:tabs>
        <w:spacing w:line="360" w:lineRule="atLeast"/>
        <w:ind w:left="709"/>
      </w:pPr>
      <w:r w:rsidRPr="00AD3137">
        <w:t>SLOBODYAN, S. ; VINOGRADOV,</w:t>
      </w:r>
      <w:r w:rsidR="00590A25" w:rsidRPr="00AD3137">
        <w:t xml:space="preserve"> V. The demographic challenge of the interconnected education and pension system in the Czech Republic. </w:t>
      </w:r>
      <w:r w:rsidR="00590A25" w:rsidRPr="00AD3137">
        <w:rPr>
          <w:rStyle w:val="Emphasis"/>
        </w:rPr>
        <w:t>Finance a úvěr-Czech Journal of Economics and Finance</w:t>
      </w:r>
      <w:r w:rsidR="00590A25" w:rsidRPr="00AD3137">
        <w:t>, 2006, Roč. 56, 11-12, s. 490-505. ISSN 0015-1920</w:t>
      </w:r>
      <w:r w:rsidR="00232F05" w:rsidRPr="00AD3137">
        <w:t>. IF</w:t>
      </w:r>
      <w:r w:rsidR="00F854E2" w:rsidRPr="00AD3137">
        <w:t xml:space="preserve"> </w:t>
      </w:r>
      <w:r w:rsidR="00F90904" w:rsidRPr="00AD3137">
        <w:t>0.190</w:t>
      </w:r>
      <w:r w:rsidR="0039277F" w:rsidRPr="00AD3137">
        <w:t>. [50%]</w:t>
      </w:r>
      <w:r w:rsidR="00AD3137">
        <w:t xml:space="preserve"> korespondenční autor</w:t>
      </w:r>
    </w:p>
    <w:p w:rsidR="00F854E2" w:rsidRDefault="00F854E2" w:rsidP="00F854E2">
      <w:pPr>
        <w:pStyle w:val="ER-OtherV"/>
      </w:pPr>
      <w:r>
        <w:lastRenderedPageBreak/>
        <w:t>Other versions:</w:t>
      </w:r>
    </w:p>
    <w:p w:rsidR="00F854E2" w:rsidRDefault="00F854E2" w:rsidP="00F854E2">
      <w:pPr>
        <w:pStyle w:val="ER-OtherV"/>
      </w:pPr>
      <w:r>
        <w:rPr>
          <w:rStyle w:val="Emphasis"/>
        </w:rPr>
        <w:t>CERGE-EI Working Paper Series</w:t>
      </w:r>
      <w:r>
        <w:t xml:space="preserve">, 2007, -, č. 326, s. 1-19. ISSN 1211-3298. </w:t>
      </w:r>
      <w:hyperlink r:id="rId13" w:history="1">
        <w:r w:rsidR="00885027" w:rsidRPr="00E0740D">
          <w:rPr>
            <w:rStyle w:val="Hyperlink"/>
          </w:rPr>
          <w:t>http://www.cerge-ei.cz/pdf/wp/Wp326.pdf</w:t>
        </w:r>
      </w:hyperlink>
    </w:p>
    <w:p w:rsidR="00F3660D" w:rsidRDefault="0039277F" w:rsidP="003433BA">
      <w:pPr>
        <w:numPr>
          <w:ilvl w:val="0"/>
          <w:numId w:val="1"/>
        </w:numPr>
        <w:tabs>
          <w:tab w:val="clear" w:pos="811"/>
          <w:tab w:val="num" w:pos="709"/>
        </w:tabs>
        <w:spacing w:line="360" w:lineRule="atLeast"/>
        <w:ind w:left="720"/>
      </w:pPr>
      <w:r w:rsidRPr="005353EE">
        <w:t>SLOBODYAN</w:t>
      </w:r>
      <w:r w:rsidR="00590A25" w:rsidRPr="005353EE">
        <w:t xml:space="preserve">, S. Indeterminacy, sunspots, and development traps. </w:t>
      </w:r>
      <w:r w:rsidR="00590A25" w:rsidRPr="005353EE">
        <w:rPr>
          <w:rStyle w:val="Emphasis"/>
        </w:rPr>
        <w:t>Journal of</w:t>
      </w:r>
      <w:r w:rsidR="00590A25">
        <w:rPr>
          <w:rStyle w:val="Emphasis"/>
        </w:rPr>
        <w:t xml:space="preserve"> Economic Dynamics &amp; Control</w:t>
      </w:r>
      <w:r w:rsidR="00590A25">
        <w:t xml:space="preserve">, 2005, Roč. 29, 1-2, s. 159-185. ISSN 0165-1889. </w:t>
      </w:r>
      <w:r w:rsidR="00F90904">
        <w:t>IF 0.691</w:t>
      </w:r>
      <w:r w:rsidR="001405C2">
        <w:t>.</w:t>
      </w:r>
      <w:r>
        <w:t xml:space="preserve"> [100%]</w:t>
      </w:r>
    </w:p>
    <w:p w:rsidR="00F854E2" w:rsidRDefault="00F854E2" w:rsidP="00F854E2">
      <w:pPr>
        <w:pStyle w:val="ER-OtherV"/>
      </w:pPr>
      <w:r>
        <w:t>Other versions:</w:t>
      </w:r>
    </w:p>
    <w:p w:rsidR="00F854E2" w:rsidRDefault="0039277F" w:rsidP="00F854E2">
      <w:pPr>
        <w:pStyle w:val="ER-OtherV"/>
      </w:pPr>
      <w:r>
        <w:t>SLOBODYAN</w:t>
      </w:r>
      <w:r w:rsidR="00F854E2">
        <w:t xml:space="preserve">, S. Welfare implications of sunspot fluctuations. </w:t>
      </w:r>
      <w:r w:rsidR="00F854E2">
        <w:rPr>
          <w:rStyle w:val="Emphasis"/>
        </w:rPr>
        <w:t>CERGE-EI Working Paper Series</w:t>
      </w:r>
      <w:r w:rsidR="00F854E2">
        <w:t xml:space="preserve">, 2002, Roč. 2002, č. 204, s. 1-35. ISSN 1211-3298. </w:t>
      </w:r>
      <w:hyperlink r:id="rId14" w:history="1">
        <w:r w:rsidR="007A6E3B" w:rsidRPr="0056666E">
          <w:rPr>
            <w:rStyle w:val="Hyperlink"/>
          </w:rPr>
          <w:t>http://www.cerge-ei.cz/pdf/wp/Wp204.pdf</w:t>
        </w:r>
      </w:hyperlink>
    </w:p>
    <w:p w:rsidR="00F3660D" w:rsidRPr="0092510B" w:rsidRDefault="0039277F" w:rsidP="00D521FD">
      <w:pPr>
        <w:numPr>
          <w:ilvl w:val="0"/>
          <w:numId w:val="1"/>
        </w:numPr>
        <w:tabs>
          <w:tab w:val="clear" w:pos="811"/>
          <w:tab w:val="num" w:pos="709"/>
        </w:tabs>
        <w:spacing w:line="360" w:lineRule="atLeast"/>
        <w:ind w:left="709"/>
      </w:pPr>
      <w:r w:rsidRPr="0092510B">
        <w:t>ROBINS, L. N. ; SLOBODYAN, S.</w:t>
      </w:r>
      <w:r w:rsidR="00590A25" w:rsidRPr="0092510B">
        <w:t xml:space="preserve"> Post-Vietnam heroin use and injection by returning US veterans: clues to preventing injection today. </w:t>
      </w:r>
      <w:r w:rsidR="00590A25" w:rsidRPr="0092510B">
        <w:rPr>
          <w:rStyle w:val="Emphasis"/>
        </w:rPr>
        <w:t>Addiction</w:t>
      </w:r>
      <w:r w:rsidR="00590A25" w:rsidRPr="0092510B">
        <w:t>, 2003, Roč. 98, č. 8, s. 1053-1060. ISSN 0965-2140</w:t>
      </w:r>
      <w:r w:rsidR="004764B7" w:rsidRPr="0092510B">
        <w:t>.</w:t>
      </w:r>
      <w:r w:rsidR="00D521FD" w:rsidRPr="0092510B">
        <w:t xml:space="preserve"> IF </w:t>
      </w:r>
      <w:r w:rsidR="0052217D" w:rsidRPr="0092510B">
        <w:t>3.241</w:t>
      </w:r>
      <w:r w:rsidR="001405C2" w:rsidRPr="0092510B">
        <w:t>. [50%]</w:t>
      </w:r>
    </w:p>
    <w:p w:rsidR="00AA16A2" w:rsidRDefault="0039277F" w:rsidP="003433BA">
      <w:pPr>
        <w:numPr>
          <w:ilvl w:val="0"/>
          <w:numId w:val="1"/>
        </w:numPr>
        <w:tabs>
          <w:tab w:val="clear" w:pos="811"/>
          <w:tab w:val="num" w:pos="709"/>
        </w:tabs>
        <w:spacing w:line="360" w:lineRule="atLeast"/>
        <w:ind w:left="720"/>
      </w:pPr>
      <w:r w:rsidRPr="003779DA">
        <w:t>SLOBODYAN</w:t>
      </w:r>
      <w:r w:rsidR="00590A25" w:rsidRPr="003779DA">
        <w:t>, S. On impossibility of limit cycles in certain two</w:t>
      </w:r>
      <w:r w:rsidR="00590A25">
        <w:t xml:space="preserve">-dimensional countinuous-time growth models. </w:t>
      </w:r>
      <w:r w:rsidR="00590A25">
        <w:rPr>
          <w:rStyle w:val="Emphasis"/>
        </w:rPr>
        <w:t>Studies in Nonlinear Dynamics and Econometrics</w:t>
      </w:r>
      <w:r w:rsidR="00590A25">
        <w:t>, 2001, Roč. 5, č. 1, s. 33-40. ISSN 1081-1826.</w:t>
      </w:r>
      <w:r w:rsidR="0052217D">
        <w:t xml:space="preserve"> IF 0.150</w:t>
      </w:r>
      <w:r w:rsidR="001405C2">
        <w:t>.</w:t>
      </w:r>
      <w:r>
        <w:t xml:space="preserve"> [100%]</w:t>
      </w:r>
    </w:p>
    <w:p w:rsidR="005353EE" w:rsidRPr="0092510B" w:rsidRDefault="0039277F" w:rsidP="00681C6C">
      <w:pPr>
        <w:numPr>
          <w:ilvl w:val="0"/>
          <w:numId w:val="1"/>
        </w:numPr>
        <w:tabs>
          <w:tab w:val="clear" w:pos="811"/>
          <w:tab w:val="num" w:pos="709"/>
        </w:tabs>
        <w:spacing w:line="360" w:lineRule="atLeast"/>
        <w:ind w:left="709"/>
      </w:pPr>
      <w:r w:rsidRPr="0092510B">
        <w:t xml:space="preserve">AMITIN, E. B. ; SLOBODJAN, </w:t>
      </w:r>
      <w:r w:rsidR="005353EE" w:rsidRPr="0092510B">
        <w:t xml:space="preserve">S. A. ; et al. The </w:t>
      </w:r>
      <w:r w:rsidR="00681C6C" w:rsidRPr="0092510B">
        <w:t xml:space="preserve">electron and lattice properties of superconducting ceramics </w:t>
      </w:r>
      <w:r w:rsidR="005353EE" w:rsidRPr="0092510B">
        <w:t xml:space="preserve">YBCO-CL. </w:t>
      </w:r>
      <w:r w:rsidR="005353EE" w:rsidRPr="0092510B">
        <w:rPr>
          <w:i/>
        </w:rPr>
        <w:t>Physica C</w:t>
      </w:r>
      <w:r w:rsidR="00274A25" w:rsidRPr="0092510B">
        <w:t>, 1993, Ro</w:t>
      </w:r>
      <w:r w:rsidR="00274A25" w:rsidRPr="0092510B">
        <w:rPr>
          <w:lang w:val="cs-CZ"/>
        </w:rPr>
        <w:t>č</w:t>
      </w:r>
      <w:r w:rsidR="005353EE" w:rsidRPr="0092510B">
        <w:t xml:space="preserve">. 209, č. 4, s. 407-414. </w:t>
      </w:r>
      <w:r w:rsidR="009C4DBF" w:rsidRPr="0092510B">
        <w:t>ISSN</w:t>
      </w:r>
      <w:r w:rsidR="005353EE" w:rsidRPr="0092510B">
        <w:t xml:space="preserve"> 0921-4534.</w:t>
      </w:r>
      <w:r w:rsidR="00164870" w:rsidRPr="0092510B">
        <w:t xml:space="preserve"> IF n.a.</w:t>
      </w:r>
      <w:r w:rsidR="001405C2" w:rsidRPr="0092510B">
        <w:t xml:space="preserve"> [8%]</w:t>
      </w:r>
    </w:p>
    <w:p w:rsidR="00034848" w:rsidRPr="0092510B" w:rsidRDefault="0039277F" w:rsidP="00932897">
      <w:pPr>
        <w:numPr>
          <w:ilvl w:val="0"/>
          <w:numId w:val="1"/>
        </w:numPr>
        <w:tabs>
          <w:tab w:val="clear" w:pos="811"/>
          <w:tab w:val="num" w:pos="709"/>
        </w:tabs>
        <w:spacing w:line="360" w:lineRule="atLeast"/>
        <w:ind w:left="709"/>
      </w:pPr>
      <w:r w:rsidRPr="0092510B">
        <w:t xml:space="preserve">BESSERGENEV, V. G. ; SLOBODYAN, S. A. </w:t>
      </w:r>
      <w:r w:rsidR="007079D2" w:rsidRPr="0092510B">
        <w:t xml:space="preserve">; </w:t>
      </w:r>
      <w:r w:rsidR="009C4DBF" w:rsidRPr="0092510B">
        <w:t>et al</w:t>
      </w:r>
      <w:r w:rsidR="007079D2" w:rsidRPr="0092510B">
        <w:t>. T</w:t>
      </w:r>
      <w:r w:rsidR="009C4DBF" w:rsidRPr="0092510B">
        <w:t>echnology of fabrication and electrical characteristics of</w:t>
      </w:r>
      <w:r w:rsidR="007079D2" w:rsidRPr="0092510B">
        <w:t xml:space="preserve"> W, </w:t>
      </w:r>
      <w:r w:rsidR="009C4DBF" w:rsidRPr="0092510B">
        <w:t>Mo, Ni and Ir, Pd contacts with</w:t>
      </w:r>
      <w:r w:rsidR="007079D2" w:rsidRPr="0092510B">
        <w:t xml:space="preserve"> YB</w:t>
      </w:r>
      <w:r w:rsidR="009C4DBF" w:rsidRPr="0092510B">
        <w:t>a</w:t>
      </w:r>
      <w:r w:rsidR="007079D2" w:rsidRPr="0092510B">
        <w:t>2C</w:t>
      </w:r>
      <w:r w:rsidR="009C4DBF" w:rsidRPr="0092510B">
        <w:t>u</w:t>
      </w:r>
      <w:r w:rsidR="007079D2" w:rsidRPr="0092510B">
        <w:t>3O</w:t>
      </w:r>
      <w:r w:rsidR="009C4DBF" w:rsidRPr="0092510B">
        <w:rPr>
          <w:vertAlign w:val="subscript"/>
        </w:rPr>
        <w:t>7-x</w:t>
      </w:r>
      <w:r w:rsidR="007079D2" w:rsidRPr="0092510B">
        <w:t xml:space="preserve">. </w:t>
      </w:r>
      <w:r w:rsidR="007079D2" w:rsidRPr="0092510B">
        <w:rPr>
          <w:i/>
        </w:rPr>
        <w:t>Superconductor Science &amp; Technology</w:t>
      </w:r>
      <w:r w:rsidR="00274A25" w:rsidRPr="0092510B">
        <w:t>, 1991, Roč</w:t>
      </w:r>
      <w:r w:rsidR="007079D2" w:rsidRPr="0092510B">
        <w:t xml:space="preserve">. 4, č. 7, s. 273-278. </w:t>
      </w:r>
      <w:r w:rsidR="009C4DBF" w:rsidRPr="0092510B">
        <w:t>ISSN</w:t>
      </w:r>
      <w:r w:rsidR="007079D2" w:rsidRPr="0092510B">
        <w:t xml:space="preserve"> 0953-2048.</w:t>
      </w:r>
      <w:r w:rsidR="00164870" w:rsidRPr="0092510B">
        <w:t xml:space="preserve"> IF n.a</w:t>
      </w:r>
      <w:r w:rsidR="00FB70F5" w:rsidRPr="0092510B">
        <w:t>. [10%]</w:t>
      </w:r>
    </w:p>
    <w:p w:rsidR="00034848" w:rsidRPr="00091D01" w:rsidRDefault="00034848" w:rsidP="003433BA">
      <w:pPr>
        <w:spacing w:before="360" w:line="360" w:lineRule="atLeast"/>
        <w:ind w:left="709" w:hanging="709"/>
        <w:rPr>
          <w:b/>
          <w:bCs/>
        </w:rPr>
      </w:pPr>
      <w:r w:rsidRPr="00091D01">
        <w:rPr>
          <w:b/>
          <w:bCs/>
        </w:rPr>
        <w:t xml:space="preserve">C3) </w:t>
      </w:r>
      <w:r w:rsidRPr="00091D01">
        <w:rPr>
          <w:b/>
          <w:bCs/>
        </w:rPr>
        <w:tab/>
        <w:t>Články v českých recenzovaných časopisech</w:t>
      </w:r>
    </w:p>
    <w:p w:rsidR="00E2287A" w:rsidRPr="0092510B" w:rsidRDefault="0039277F" w:rsidP="00AF2564">
      <w:pPr>
        <w:pStyle w:val="ListParagraph"/>
        <w:numPr>
          <w:ilvl w:val="0"/>
          <w:numId w:val="1"/>
        </w:numPr>
        <w:tabs>
          <w:tab w:val="clear" w:pos="811"/>
          <w:tab w:val="num" w:pos="709"/>
        </w:tabs>
        <w:ind w:left="709"/>
      </w:pPr>
      <w:r w:rsidRPr="0092510B">
        <w:t>ORTMANN, A. ; SLOBODYAN, S.</w:t>
      </w:r>
      <w:r w:rsidR="00E2287A" w:rsidRPr="0092510B">
        <w:t xml:space="preserve"> (The evolution of) post-secondary education: a computational model and experiments. </w:t>
      </w:r>
      <w:r w:rsidR="00E2287A" w:rsidRPr="0092510B">
        <w:rPr>
          <w:rStyle w:val="Emphasis"/>
        </w:rPr>
        <w:t>CERGE-EI Working Paper Series</w:t>
      </w:r>
      <w:r w:rsidR="00E2287A" w:rsidRPr="0092510B">
        <w:t xml:space="preserve">, 2008, -, č. 355, s. 1-46. ISSN 1211-3298. </w:t>
      </w:r>
      <w:hyperlink r:id="rId15" w:history="1">
        <w:r w:rsidR="00885027" w:rsidRPr="0092510B">
          <w:rPr>
            <w:rStyle w:val="Hyperlink"/>
          </w:rPr>
          <w:t>http://www.cerge-ei.cz/pdf/wp/Wp355.pdf</w:t>
        </w:r>
      </w:hyperlink>
      <w:r w:rsidRPr="0092510B">
        <w:t xml:space="preserve"> [50%]</w:t>
      </w:r>
      <w:r w:rsidR="00613417" w:rsidRPr="0092510B">
        <w:t xml:space="preserve"> </w:t>
      </w:r>
    </w:p>
    <w:p w:rsidR="00E2287A" w:rsidRDefault="0039277F" w:rsidP="00AF2564">
      <w:pPr>
        <w:pStyle w:val="ListParagraph"/>
        <w:numPr>
          <w:ilvl w:val="0"/>
          <w:numId w:val="1"/>
        </w:numPr>
        <w:tabs>
          <w:tab w:val="clear" w:pos="811"/>
          <w:tab w:val="num" w:pos="709"/>
        </w:tabs>
        <w:ind w:left="709"/>
      </w:pPr>
      <w:r>
        <w:lastRenderedPageBreak/>
        <w:t>SLOBODYAN</w:t>
      </w:r>
      <w:r w:rsidR="00E2287A">
        <w:t xml:space="preserve">, S. One sector models, indeterminacy, and productive public spending. </w:t>
      </w:r>
      <w:r w:rsidR="00E2287A">
        <w:rPr>
          <w:rStyle w:val="Emphasis"/>
        </w:rPr>
        <w:t>CERGE-EI Working Paper Series</w:t>
      </w:r>
      <w:r w:rsidR="00E2287A">
        <w:t xml:space="preserve">, 2006, -, č. 293, s. 1-24. ISSN 1211-3298. </w:t>
      </w:r>
      <w:hyperlink r:id="rId16" w:history="1">
        <w:r w:rsidR="007A6E3B" w:rsidRPr="0056666E">
          <w:rPr>
            <w:rStyle w:val="Hyperlink"/>
          </w:rPr>
          <w:t>http://www.cerge-ei.cz/pdf/wp/Wp293.pdf</w:t>
        </w:r>
      </w:hyperlink>
      <w:r>
        <w:t xml:space="preserve"> [100%]</w:t>
      </w:r>
    </w:p>
    <w:p w:rsidR="00E2287A" w:rsidRPr="0092510B" w:rsidRDefault="0039277F" w:rsidP="001411A0">
      <w:pPr>
        <w:pStyle w:val="ListParagraph"/>
        <w:numPr>
          <w:ilvl w:val="0"/>
          <w:numId w:val="1"/>
        </w:numPr>
        <w:tabs>
          <w:tab w:val="clear" w:pos="811"/>
          <w:tab w:val="num" w:pos="709"/>
        </w:tabs>
        <w:ind w:left="709"/>
      </w:pPr>
      <w:r w:rsidRPr="0092510B">
        <w:t xml:space="preserve">ORTMANN, A. ; SLOBODYAN, S. ; NORDBERG, S. </w:t>
      </w:r>
      <w:r w:rsidR="00E2287A" w:rsidRPr="0092510B">
        <w:t xml:space="preserve">(The evolution of) post-secondary education: a computational model and experiments. </w:t>
      </w:r>
      <w:r w:rsidR="00E2287A" w:rsidRPr="0092510B">
        <w:rPr>
          <w:rStyle w:val="Emphasis"/>
        </w:rPr>
        <w:t>CERGE-EI Working Paper Series</w:t>
      </w:r>
      <w:r w:rsidR="00E2287A" w:rsidRPr="0092510B">
        <w:t xml:space="preserve">, 2003, Roč. 2003, č. 208, s. 1-52. ISSN 1211-3298. </w:t>
      </w:r>
      <w:hyperlink r:id="rId17" w:history="1">
        <w:r w:rsidR="00885027" w:rsidRPr="0092510B">
          <w:rPr>
            <w:rStyle w:val="Hyperlink"/>
          </w:rPr>
          <w:t>http://www.cerge-ei.cz/pdf/wp/Wp208.pdf</w:t>
        </w:r>
      </w:hyperlink>
      <w:r w:rsidRPr="0092510B">
        <w:t xml:space="preserve"> [33%]</w:t>
      </w:r>
    </w:p>
    <w:p w:rsidR="00E2287A" w:rsidRDefault="0039277F" w:rsidP="001411A0">
      <w:pPr>
        <w:pStyle w:val="ListParagraph"/>
        <w:numPr>
          <w:ilvl w:val="0"/>
          <w:numId w:val="1"/>
        </w:numPr>
        <w:tabs>
          <w:tab w:val="clear" w:pos="811"/>
          <w:tab w:val="num" w:pos="709"/>
        </w:tabs>
        <w:ind w:left="709"/>
      </w:pPr>
      <w:r>
        <w:t>SLOBODYAN</w:t>
      </w:r>
      <w:r w:rsidR="00E2287A">
        <w:t xml:space="preserve">, S. Sunspot fluctuations: a way out of a development trap?. </w:t>
      </w:r>
      <w:r w:rsidR="00E2287A">
        <w:rPr>
          <w:rStyle w:val="Emphasis"/>
        </w:rPr>
        <w:t>CERGE-EI Working Paper Series</w:t>
      </w:r>
      <w:r w:rsidR="00E2287A">
        <w:t xml:space="preserve">, 2001, č. 175, s. 1-40. ISSN 1211-3298. </w:t>
      </w:r>
      <w:hyperlink r:id="rId18" w:history="1">
        <w:r w:rsidR="00885027" w:rsidRPr="00E0740D">
          <w:rPr>
            <w:rStyle w:val="Hyperlink"/>
          </w:rPr>
          <w:t>http://www.cerge-ei.cz/pdf/wp/Wp175.pdf</w:t>
        </w:r>
      </w:hyperlink>
      <w:r>
        <w:t xml:space="preserve"> [100%]</w:t>
      </w:r>
    </w:p>
    <w:p w:rsidR="00F1524F" w:rsidRDefault="00F1524F" w:rsidP="00F1524F">
      <w:pPr>
        <w:pStyle w:val="ER-OtherV"/>
      </w:pPr>
      <w:r>
        <w:t>Other versions:</w:t>
      </w:r>
    </w:p>
    <w:p w:rsidR="00F1524F" w:rsidRDefault="00F1524F" w:rsidP="00F1524F">
      <w:pPr>
        <w:pStyle w:val="ER-OtherV"/>
        <w:jc w:val="left"/>
      </w:pPr>
      <w:r w:rsidRPr="00F1524F">
        <w:t xml:space="preserve">EconWPA, Macroeconomics č. 0106001. B.m.n., 2001. 40s. </w:t>
      </w:r>
      <w:hyperlink r:id="rId19" w:history="1">
        <w:r w:rsidR="00E26671" w:rsidRPr="00756024">
          <w:rPr>
            <w:rStyle w:val="Hyperlink"/>
          </w:rPr>
          <w:t>http://128.118.178.162/eps/mac/papers/0106/0106001.pdf</w:t>
        </w:r>
      </w:hyperlink>
    </w:p>
    <w:p w:rsidR="00091D01" w:rsidRPr="00A813B6" w:rsidRDefault="00091D01" w:rsidP="003433BA">
      <w:pPr>
        <w:spacing w:before="360" w:line="360" w:lineRule="atLeast"/>
        <w:ind w:left="709" w:hanging="709"/>
        <w:rPr>
          <w:b/>
          <w:bCs/>
          <w:lang w:val="cs-CZ"/>
        </w:rPr>
      </w:pPr>
      <w:r w:rsidRPr="00A401B1">
        <w:rPr>
          <w:b/>
          <w:bCs/>
        </w:rPr>
        <w:t xml:space="preserve">C4) </w:t>
      </w:r>
      <w:r w:rsidRPr="00A401B1">
        <w:rPr>
          <w:b/>
          <w:bCs/>
        </w:rPr>
        <w:tab/>
      </w:r>
      <w:r w:rsidR="00A813B6">
        <w:rPr>
          <w:b/>
        </w:rPr>
        <w:t>Sta</w:t>
      </w:r>
      <w:r w:rsidR="00A813B6">
        <w:rPr>
          <w:b/>
          <w:lang w:val="cs-CZ"/>
        </w:rPr>
        <w:t>ť v recenzovaném sborníku</w:t>
      </w:r>
    </w:p>
    <w:p w:rsidR="003C796B" w:rsidRPr="0092510B" w:rsidRDefault="0039277F" w:rsidP="003A4443">
      <w:pPr>
        <w:numPr>
          <w:ilvl w:val="0"/>
          <w:numId w:val="1"/>
        </w:numPr>
        <w:tabs>
          <w:tab w:val="clear" w:pos="811"/>
          <w:tab w:val="num" w:pos="709"/>
        </w:tabs>
        <w:spacing w:line="360" w:lineRule="atLeast"/>
        <w:ind w:left="720"/>
      </w:pPr>
      <w:r w:rsidRPr="0092510B">
        <w:t xml:space="preserve">KOLYUZHNOV, D. ; BOGOMOLOVA, A. ; </w:t>
      </w:r>
      <w:r w:rsidRPr="0092510B">
        <w:rPr>
          <w:rStyle w:val="Emphasis"/>
          <w:i w:val="0"/>
        </w:rPr>
        <w:t>SLOBODYAN</w:t>
      </w:r>
      <w:r w:rsidRPr="0092510B">
        <w:t>, S</w:t>
      </w:r>
      <w:r w:rsidR="000D4A63" w:rsidRPr="0092510B">
        <w:t xml:space="preserve">. Escape dynamics: a continuous time approach. In Blair, S.; et al. (ed.). </w:t>
      </w:r>
      <w:r w:rsidR="000D4A63" w:rsidRPr="0092510B">
        <w:rPr>
          <w:rStyle w:val="Emphasis"/>
        </w:rPr>
        <w:t>Proceedings of the 8th joint conference on information sciences [CD ROM]</w:t>
      </w:r>
      <w:r w:rsidR="000D4A63" w:rsidRPr="0092510B">
        <w:t>. Toronto : X-CD Technologies Inc, 2005, S. 1009-1012. [Joint conference on information sciences /8./, Salt Lake City, Utah, 21.07.2005-26.07.2005, US].</w:t>
      </w:r>
      <w:r w:rsidR="00091D01" w:rsidRPr="0092510B">
        <w:t xml:space="preserve"> [33%]</w:t>
      </w:r>
      <w:r w:rsidR="0092510B" w:rsidRPr="0092510B">
        <w:t xml:space="preserve"> korespondenční autor</w:t>
      </w:r>
    </w:p>
    <w:p w:rsidR="00034848" w:rsidRPr="00091D01" w:rsidRDefault="00034848" w:rsidP="003433BA">
      <w:pPr>
        <w:spacing w:before="360" w:line="360" w:lineRule="atLeast"/>
        <w:ind w:left="709" w:hanging="709"/>
        <w:rPr>
          <w:b/>
          <w:bCs/>
        </w:rPr>
      </w:pPr>
      <w:r w:rsidRPr="00A401B1">
        <w:rPr>
          <w:b/>
          <w:bCs/>
        </w:rPr>
        <w:t xml:space="preserve">E) </w:t>
      </w:r>
      <w:r w:rsidRPr="00A401B1">
        <w:rPr>
          <w:b/>
          <w:bCs/>
        </w:rPr>
        <w:tab/>
        <w:t>Různé závažné práce</w:t>
      </w:r>
    </w:p>
    <w:p w:rsidR="00034848" w:rsidRPr="00091D01" w:rsidRDefault="00034848" w:rsidP="003433BA">
      <w:pPr>
        <w:spacing w:before="360" w:line="360" w:lineRule="atLeast"/>
        <w:ind w:left="709" w:hanging="709"/>
      </w:pPr>
      <w:r w:rsidRPr="00091D01">
        <w:rPr>
          <w:b/>
          <w:bCs/>
        </w:rPr>
        <w:t xml:space="preserve">E1) </w:t>
      </w:r>
      <w:r w:rsidRPr="00091D01">
        <w:rPr>
          <w:b/>
          <w:bCs/>
        </w:rPr>
        <w:tab/>
      </w:r>
      <w:r w:rsidR="003433BA">
        <w:rPr>
          <w:b/>
          <w:bCs/>
        </w:rPr>
        <w:t xml:space="preserve">Working and </w:t>
      </w:r>
      <w:r w:rsidRPr="00091D01">
        <w:rPr>
          <w:b/>
          <w:bCs/>
        </w:rPr>
        <w:t>Discussion Papers</w:t>
      </w:r>
    </w:p>
    <w:p w:rsidR="00474059" w:rsidRDefault="00474059" w:rsidP="003C0021">
      <w:pPr>
        <w:numPr>
          <w:ilvl w:val="0"/>
          <w:numId w:val="12"/>
        </w:numPr>
        <w:spacing w:line="360" w:lineRule="atLeast"/>
      </w:pPr>
      <w:r w:rsidRPr="00D8318F">
        <w:rPr>
          <w:color w:val="333333"/>
          <w:shd w:val="clear" w:color="auto" w:fill="FFFFFF"/>
        </w:rPr>
        <w:t>AUDZEI, V. ; SLOBODYAN, S. </w:t>
      </w:r>
      <w:r w:rsidRPr="00D8318F">
        <w:rPr>
          <w:rStyle w:val="Emphasis"/>
          <w:color w:val="333333"/>
          <w:shd w:val="clear" w:color="auto" w:fill="FFFFFF"/>
        </w:rPr>
        <w:t>Sparse restricted perception equilibrium</w:t>
      </w:r>
      <w:r w:rsidRPr="00D8318F">
        <w:rPr>
          <w:color w:val="333333"/>
          <w:shd w:val="clear" w:color="auto" w:fill="FFFFFF"/>
        </w:rPr>
        <w:t xml:space="preserve">. Praha : Czech National Bank, 2018. 43 s. </w:t>
      </w:r>
      <w:r w:rsidRPr="00D8318F">
        <w:rPr>
          <w:color w:val="333333"/>
          <w:shd w:val="clear" w:color="auto" w:fill="FFFFFF"/>
          <w:lang w:val="cs-CZ"/>
        </w:rPr>
        <w:t>(</w:t>
      </w:r>
      <w:r w:rsidRPr="00D8318F">
        <w:rPr>
          <w:color w:val="333333"/>
          <w:shd w:val="clear" w:color="auto" w:fill="FFFFFF"/>
        </w:rPr>
        <w:t xml:space="preserve">CNB Working Paper Series : 8/2018). ISSN 1803-7070. </w:t>
      </w:r>
      <w:r w:rsidRPr="00D8318F">
        <w:t>[50%]</w:t>
      </w:r>
    </w:p>
    <w:p w:rsidR="00264EE5" w:rsidRDefault="00264EE5" w:rsidP="003C0021">
      <w:pPr>
        <w:numPr>
          <w:ilvl w:val="0"/>
          <w:numId w:val="12"/>
        </w:numPr>
        <w:spacing w:line="360" w:lineRule="atLeast"/>
      </w:pPr>
      <w:r>
        <w:t>JERBASHIAN, V. ; SLOBODYAN, S.</w:t>
      </w:r>
      <w:r>
        <w:rPr>
          <w:lang w:val="cs-CZ"/>
        </w:rPr>
        <w:t xml:space="preserve"> </w:t>
      </w:r>
      <w:r>
        <w:t xml:space="preserve">; </w:t>
      </w:r>
      <w:r>
        <w:rPr>
          <w:lang w:val="cs-CZ"/>
        </w:rPr>
        <w:t xml:space="preserve">VOURVACHAKI, E. </w:t>
      </w:r>
      <w:r w:rsidRPr="00264EE5">
        <w:rPr>
          <w:i/>
          <w:lang w:val="cs-CZ"/>
        </w:rPr>
        <w:t>On the industry Specificity of human capital and business cycles</w:t>
      </w:r>
      <w:r>
        <w:rPr>
          <w:lang w:val="cs-CZ"/>
        </w:rPr>
        <w:t xml:space="preserve">. Barcelona : </w:t>
      </w:r>
      <w:r w:rsidRPr="00264EE5">
        <w:rPr>
          <w:lang w:val="cs-CZ"/>
        </w:rPr>
        <w:t>Universitat de Barcelona, Facultat d'Economia i Empresa, UB Economics</w:t>
      </w:r>
      <w:r>
        <w:rPr>
          <w:lang w:val="cs-CZ"/>
        </w:rPr>
        <w:t>, 2016. 109 s. (</w:t>
      </w:r>
      <w:r w:rsidRPr="00264EE5">
        <w:rPr>
          <w:lang w:val="cs-CZ"/>
        </w:rPr>
        <w:t>UB Economics Working Papers</w:t>
      </w:r>
      <w:r>
        <w:rPr>
          <w:lang w:val="cs-CZ"/>
        </w:rPr>
        <w:t xml:space="preserve"> :</w:t>
      </w:r>
      <w:r w:rsidRPr="00264EE5">
        <w:rPr>
          <w:lang w:val="cs-CZ"/>
        </w:rPr>
        <w:t xml:space="preserve"> E16/335</w:t>
      </w:r>
      <w:r>
        <w:rPr>
          <w:lang w:val="cs-CZ"/>
        </w:rPr>
        <w:t xml:space="preserve">). </w:t>
      </w:r>
      <w:hyperlink r:id="rId20" w:history="1">
        <w:r w:rsidRPr="00264EE5">
          <w:rPr>
            <w:rStyle w:val="Hyperlink"/>
            <w:lang w:val="cs-CZ"/>
          </w:rPr>
          <w:t>https://papers.ssrn.com/sol3/papers.cfm?abstract_id=2745219</w:t>
        </w:r>
      </w:hyperlink>
      <w:r w:rsidR="00474059">
        <w:rPr>
          <w:rStyle w:val="Hyperlink"/>
          <w:lang w:val="cs-CZ"/>
        </w:rPr>
        <w:t xml:space="preserve"> </w:t>
      </w:r>
      <w:r w:rsidR="00474059">
        <w:t>[33</w:t>
      </w:r>
      <w:r w:rsidR="00474059" w:rsidRPr="00D8318F">
        <w:t>%]</w:t>
      </w:r>
    </w:p>
    <w:p w:rsidR="00BB6061" w:rsidRPr="0092510B" w:rsidRDefault="0039277F" w:rsidP="003433BA">
      <w:pPr>
        <w:numPr>
          <w:ilvl w:val="0"/>
          <w:numId w:val="12"/>
        </w:numPr>
        <w:tabs>
          <w:tab w:val="clear" w:pos="720"/>
          <w:tab w:val="num" w:pos="709"/>
        </w:tabs>
        <w:spacing w:line="360" w:lineRule="atLeast"/>
      </w:pPr>
      <w:r w:rsidRPr="0092510B">
        <w:lastRenderedPageBreak/>
        <w:t>JANJGAVA, B. ; SLOBODYAN, S.</w:t>
      </w:r>
      <w:r w:rsidR="00C51393" w:rsidRPr="0092510B">
        <w:t xml:space="preserve"> </w:t>
      </w:r>
      <w:r w:rsidR="00C51393" w:rsidRPr="0092510B">
        <w:rPr>
          <w:rStyle w:val="Emphasis"/>
        </w:rPr>
        <w:t>Duopoly competition, escape dynamics and non-cooperative collusion</w:t>
      </w:r>
      <w:r w:rsidR="00C51393" w:rsidRPr="0092510B">
        <w:t xml:space="preserve">. Prague : CERGE-EI, 2011. 35 s. (CERGE-EI Working Paper Series : 445). ISSN 1211-3298. </w:t>
      </w:r>
      <w:hyperlink r:id="rId21" w:history="1">
        <w:r w:rsidR="00885027" w:rsidRPr="0092510B">
          <w:rPr>
            <w:rStyle w:val="Hyperlink"/>
          </w:rPr>
          <w:t>http://www.cerge-ei.cz/pdf/wp/Wp445.pdf</w:t>
        </w:r>
      </w:hyperlink>
      <w:r w:rsidR="008844D6" w:rsidRPr="0092510B">
        <w:t xml:space="preserve"> </w:t>
      </w:r>
      <w:r w:rsidRPr="0092510B">
        <w:t>[50%]</w:t>
      </w:r>
      <w:r w:rsidR="0092510B">
        <w:t xml:space="preserve"> korespondenční autor</w:t>
      </w:r>
    </w:p>
    <w:p w:rsidR="00BB6061" w:rsidRPr="006201AE" w:rsidRDefault="0039277F" w:rsidP="003433BA">
      <w:pPr>
        <w:numPr>
          <w:ilvl w:val="0"/>
          <w:numId w:val="12"/>
        </w:numPr>
        <w:tabs>
          <w:tab w:val="clear" w:pos="720"/>
          <w:tab w:val="num" w:pos="709"/>
        </w:tabs>
        <w:spacing w:line="360" w:lineRule="atLeast"/>
      </w:pPr>
      <w:r w:rsidRPr="006201AE">
        <w:t xml:space="preserve">ORTMANN, A. ; SLOBODYAN, S. ; NORDBERG, S. S. </w:t>
      </w:r>
      <w:r w:rsidR="00C51393" w:rsidRPr="006201AE">
        <w:rPr>
          <w:rStyle w:val="Emphasis"/>
        </w:rPr>
        <w:t>(The evolution of) post-secondary education: a computational model and results</w:t>
      </w:r>
      <w:r w:rsidR="00C51393" w:rsidRPr="006201AE">
        <w:t>. Praha : CERGE-EI, 2002. 33 s. (CERGE-EI discussion paper series. : 2002-93).</w:t>
      </w:r>
      <w:r w:rsidRPr="006201AE">
        <w:t xml:space="preserve"> [33%]</w:t>
      </w:r>
    </w:p>
    <w:p w:rsidR="0039277F" w:rsidRDefault="0039277F" w:rsidP="0039277F">
      <w:pPr>
        <w:pStyle w:val="ER-OtherV"/>
      </w:pPr>
      <w:r w:rsidRPr="006201AE">
        <w:t>Other versions:</w:t>
      </w:r>
    </w:p>
    <w:p w:rsidR="00BB6061" w:rsidRDefault="00C51393" w:rsidP="0039277F">
      <w:pPr>
        <w:pStyle w:val="ER-OtherV"/>
      </w:pPr>
      <w:r>
        <w:t xml:space="preserve">Praha : CERGE-EI, 2002. 32 s. </w:t>
      </w:r>
      <w:r w:rsidRPr="00432A33">
        <w:t>(CERGE-EI research seminar series.).</w:t>
      </w:r>
      <w:r>
        <w:t xml:space="preserve"> </w:t>
      </w:r>
      <w:hyperlink r:id="rId22" w:history="1">
        <w:r w:rsidR="00885027" w:rsidRPr="00E0740D">
          <w:rPr>
            <w:rStyle w:val="Hyperlink"/>
          </w:rPr>
          <w:t>http://www.cerge-ei.cz/pdf/events/papers/020923_t.pdf</w:t>
        </w:r>
      </w:hyperlink>
      <w:r w:rsidR="002C5703" w:rsidRPr="00091D01">
        <w:t xml:space="preserve"> </w:t>
      </w:r>
      <w:r w:rsidR="00034848" w:rsidRPr="00091D01">
        <w:t>[</w:t>
      </w:r>
      <w:r w:rsidR="001E5324">
        <w:t>33</w:t>
      </w:r>
      <w:r w:rsidR="00034848" w:rsidRPr="00091D01">
        <w:t>%]</w:t>
      </w:r>
    </w:p>
    <w:p w:rsidR="00225B66" w:rsidRDefault="006201AE" w:rsidP="00356AD4">
      <w:pPr>
        <w:numPr>
          <w:ilvl w:val="0"/>
          <w:numId w:val="12"/>
        </w:numPr>
        <w:tabs>
          <w:tab w:val="clear" w:pos="720"/>
          <w:tab w:val="num" w:pos="709"/>
        </w:tabs>
        <w:spacing w:line="360" w:lineRule="atLeast"/>
      </w:pPr>
      <w:r>
        <w:t>SLOBODYAN, S.</w:t>
      </w:r>
      <w:r w:rsidR="001E5324" w:rsidRPr="006201AE">
        <w:t>; VINOGRADOV, V.</w:t>
      </w:r>
      <w:r w:rsidR="00BB6061" w:rsidRPr="006201AE">
        <w:t xml:space="preserve"> </w:t>
      </w:r>
      <w:r w:rsidR="00BB6061" w:rsidRPr="006201AE">
        <w:rPr>
          <w:rStyle w:val="Emphasis"/>
        </w:rPr>
        <w:t>Linking education and pensions in transition: a comparative study</w:t>
      </w:r>
      <w:r w:rsidR="00BB6061" w:rsidRPr="006201AE">
        <w:t>.</w:t>
      </w:r>
      <w:r w:rsidR="006F47FB" w:rsidRPr="006201AE">
        <w:t xml:space="preserve"> </w:t>
      </w:r>
      <w:r w:rsidR="00BB6061" w:rsidRPr="006201AE">
        <w:t xml:space="preserve">Prague : CERGE-EI, 2004. 2 s. </w:t>
      </w:r>
      <w:hyperlink r:id="rId23" w:history="1">
        <w:r w:rsidR="007A6E3B" w:rsidRPr="006201AE">
          <w:rPr>
            <w:rStyle w:val="Hyperlink"/>
          </w:rPr>
          <w:t>(Policy Brief : 4). http://www.cerge-ei.cz/pdf/pb/PB4.pdf</w:t>
        </w:r>
      </w:hyperlink>
      <w:r w:rsidR="002F7C4D" w:rsidRPr="006201AE">
        <w:t xml:space="preserve"> [50%]</w:t>
      </w:r>
      <w:r w:rsidRPr="006201AE">
        <w:t xml:space="preserve"> korespondenční autor</w:t>
      </w:r>
    </w:p>
    <w:p w:rsidR="00356AD4" w:rsidRDefault="006201AE" w:rsidP="00865EA4">
      <w:pPr>
        <w:numPr>
          <w:ilvl w:val="0"/>
          <w:numId w:val="12"/>
        </w:numPr>
        <w:spacing w:line="360" w:lineRule="atLeast"/>
      </w:pPr>
      <w:r>
        <w:t>KADOCHNIKOV, S.; ESSINE, P.</w:t>
      </w:r>
      <w:r w:rsidR="002F7C4D" w:rsidRPr="006201AE">
        <w:t xml:space="preserve">; SLOBODYAN, S. </w:t>
      </w:r>
      <w:r w:rsidR="005D049B" w:rsidRPr="006201AE">
        <w:rPr>
          <w:rStyle w:val="Emphasis"/>
        </w:rPr>
        <w:t>What explains the product differentiation of Russian companies: competitive pressure or technological spillovers?</w:t>
      </w:r>
      <w:r>
        <w:t xml:space="preserve"> . </w:t>
      </w:r>
      <w:r w:rsidR="005D049B" w:rsidRPr="006201AE">
        <w:t>Prague : CERGE-EI, 2004. 3 s.</w:t>
      </w:r>
      <w:r w:rsidR="001411A0" w:rsidRPr="006201AE">
        <w:t xml:space="preserve"> (</w:t>
      </w:r>
      <w:r w:rsidR="001411A0" w:rsidRPr="006201AE">
        <w:rPr>
          <w:rStyle w:val="Emphasis"/>
        </w:rPr>
        <w:t>Policy Brief</w:t>
      </w:r>
      <w:r w:rsidR="001411A0" w:rsidRPr="006201AE">
        <w:t xml:space="preserve"> : 3). </w:t>
      </w:r>
      <w:hyperlink r:id="rId24" w:history="1">
        <w:r w:rsidR="00885027" w:rsidRPr="006201AE">
          <w:rPr>
            <w:rStyle w:val="Hyperlink"/>
          </w:rPr>
          <w:t>http://www.cerge-ei.cz/pdf/pb/PB3.pdf</w:t>
        </w:r>
      </w:hyperlink>
      <w:r w:rsidR="002F7C4D" w:rsidRPr="006201AE">
        <w:t xml:space="preserve"> [33%]</w:t>
      </w:r>
      <w:r w:rsidRPr="006201AE">
        <w:t xml:space="preserve"> korespondenční autor</w:t>
      </w:r>
    </w:p>
    <w:p w:rsidR="00641244" w:rsidRPr="006201AE" w:rsidRDefault="006201AE" w:rsidP="00865EA4">
      <w:pPr>
        <w:numPr>
          <w:ilvl w:val="0"/>
          <w:numId w:val="12"/>
        </w:numPr>
        <w:spacing w:line="360" w:lineRule="atLeast"/>
      </w:pPr>
      <w:r>
        <w:t>KADOCHNIKOV, S.</w:t>
      </w:r>
      <w:r w:rsidR="002F7C4D" w:rsidRPr="006201AE">
        <w:t>; E</w:t>
      </w:r>
      <w:r>
        <w:t>SSINE, P.</w:t>
      </w:r>
      <w:r w:rsidR="002F7C4D" w:rsidRPr="006201AE">
        <w:t xml:space="preserve">; SLOBODYAN, S. </w:t>
      </w:r>
      <w:r w:rsidR="00073325" w:rsidRPr="006201AE">
        <w:rPr>
          <w:rStyle w:val="Emphasis"/>
        </w:rPr>
        <w:t>What forces Russian firms to increase product variety: FDI or competition from import?</w:t>
      </w:r>
      <w:r w:rsidR="00073325" w:rsidRPr="006201AE">
        <w:t>.</w:t>
      </w:r>
      <w:r w:rsidR="006F47FB" w:rsidRPr="006201AE">
        <w:t xml:space="preserve"> </w:t>
      </w:r>
      <w:r w:rsidR="00073325" w:rsidRPr="006201AE">
        <w:t>Prague : CERGE-EI, 2003. 2 s</w:t>
      </w:r>
      <w:r w:rsidR="00885027" w:rsidRPr="006201AE">
        <w:t xml:space="preserve">. </w:t>
      </w:r>
      <w:r w:rsidR="007A6E3B" w:rsidRPr="006201AE">
        <w:t xml:space="preserve">(Policy Brief : 1). </w:t>
      </w:r>
      <w:hyperlink r:id="rId25" w:history="1">
        <w:r w:rsidR="007A6E3B" w:rsidRPr="006201AE">
          <w:rPr>
            <w:rStyle w:val="Hyperlink"/>
          </w:rPr>
          <w:t>http://www.cerge-ei.cz/pdf/pb/PB1.pdf</w:t>
        </w:r>
      </w:hyperlink>
      <w:r w:rsidR="007A6E3B" w:rsidRPr="006201AE">
        <w:t xml:space="preserve"> </w:t>
      </w:r>
      <w:r w:rsidR="002F7C4D" w:rsidRPr="006201AE">
        <w:t>[33%]</w:t>
      </w:r>
      <w:r w:rsidRPr="00865EA4">
        <w:rPr>
          <w:bCs/>
        </w:rPr>
        <w:t xml:space="preserve"> korespondenční autor</w:t>
      </w:r>
    </w:p>
    <w:p w:rsidR="00BF1A20" w:rsidRPr="00091D01" w:rsidRDefault="00BF1A20" w:rsidP="00BF1A20">
      <w:pPr>
        <w:spacing w:line="360" w:lineRule="atLeast"/>
        <w:ind w:left="709" w:hanging="720"/>
        <w:rPr>
          <w:b/>
          <w:bCs/>
        </w:rPr>
      </w:pPr>
      <w:r w:rsidRPr="00091D01">
        <w:rPr>
          <w:b/>
          <w:bCs/>
        </w:rPr>
        <w:t>E</w:t>
      </w:r>
      <w:r>
        <w:rPr>
          <w:b/>
          <w:bCs/>
        </w:rPr>
        <w:t>2</w:t>
      </w:r>
      <w:r w:rsidRPr="00091D01">
        <w:rPr>
          <w:b/>
          <w:bCs/>
        </w:rPr>
        <w:t>)</w:t>
      </w:r>
      <w:r w:rsidRPr="00091D01">
        <w:rPr>
          <w:b/>
          <w:bCs/>
        </w:rPr>
        <w:tab/>
        <w:t>Recenze v odborných časopisech</w:t>
      </w:r>
    </w:p>
    <w:p w:rsidR="00BF1A20" w:rsidRDefault="002F7C4D" w:rsidP="00BF1A20">
      <w:pPr>
        <w:numPr>
          <w:ilvl w:val="0"/>
          <w:numId w:val="8"/>
        </w:numPr>
        <w:spacing w:line="360" w:lineRule="atLeast"/>
        <w:ind w:left="709"/>
      </w:pPr>
      <w:r w:rsidRPr="006201AE">
        <w:t>ORTMANN, A. ; SLOBODYAN, S.</w:t>
      </w:r>
      <w:r w:rsidR="00BF1A20" w:rsidRPr="006201AE">
        <w:t xml:space="preserve"> Human psychology and economic fluctuation. A new basic theory of human economics. [Orig.: Tamura, H. Human psychology and economic fluctuation. A new basic theory of human economics. Basingstoke : Palgrave Macmillan, 2006. 192 p]. </w:t>
      </w:r>
      <w:r w:rsidR="00BF1A20" w:rsidRPr="006201AE">
        <w:rPr>
          <w:rStyle w:val="Emphasis"/>
        </w:rPr>
        <w:t>Journal of Economic Psychology</w:t>
      </w:r>
      <w:r w:rsidR="00BF1A20" w:rsidRPr="006201AE">
        <w:t xml:space="preserve">, 2007, Roč. 28, č. 5, s. 628-629. ISSN 0167-4870. </w:t>
      </w:r>
      <w:hyperlink r:id="rId26" w:tooltip="link" w:history="1">
        <w:r w:rsidR="00BF1A20" w:rsidRPr="006201AE">
          <w:rPr>
            <w:rStyle w:val="Hyperlink"/>
          </w:rPr>
          <w:t>http://dx.doi.org/10.1016/j.joep.2007.07.003</w:t>
        </w:r>
      </w:hyperlink>
      <w:r w:rsidR="00BF1A20" w:rsidRPr="006201AE">
        <w:t xml:space="preserve"> IF 1.081.</w:t>
      </w:r>
      <w:r w:rsidRPr="006201AE">
        <w:t xml:space="preserve"> [50%]</w:t>
      </w:r>
    </w:p>
    <w:p w:rsidR="00795C26" w:rsidRPr="006201AE" w:rsidRDefault="00795C26" w:rsidP="002E45FD">
      <w:pPr>
        <w:spacing w:line="360" w:lineRule="atLeast"/>
      </w:pPr>
    </w:p>
    <w:p w:rsidR="00007355" w:rsidRPr="00091D01" w:rsidRDefault="00007355" w:rsidP="00007355">
      <w:pPr>
        <w:spacing w:line="360" w:lineRule="atLeast"/>
        <w:ind w:left="709" w:hanging="709"/>
        <w:rPr>
          <w:b/>
          <w:bCs/>
        </w:rPr>
      </w:pPr>
      <w:r w:rsidRPr="006201AE">
        <w:rPr>
          <w:b/>
          <w:bCs/>
        </w:rPr>
        <w:lastRenderedPageBreak/>
        <w:t>E</w:t>
      </w:r>
      <w:r w:rsidR="00BF1A20" w:rsidRPr="006201AE">
        <w:rPr>
          <w:b/>
          <w:bCs/>
        </w:rPr>
        <w:t>3</w:t>
      </w:r>
      <w:r w:rsidRPr="006201AE">
        <w:rPr>
          <w:b/>
          <w:bCs/>
        </w:rPr>
        <w:t xml:space="preserve">) </w:t>
      </w:r>
      <w:r w:rsidRPr="006201AE">
        <w:rPr>
          <w:b/>
          <w:bCs/>
        </w:rPr>
        <w:tab/>
        <w:t>Editor monografie</w:t>
      </w:r>
    </w:p>
    <w:p w:rsidR="003A4443" w:rsidRPr="003016AE" w:rsidRDefault="00AF2564" w:rsidP="009528B6">
      <w:pPr>
        <w:numPr>
          <w:ilvl w:val="0"/>
          <w:numId w:val="13"/>
        </w:numPr>
        <w:tabs>
          <w:tab w:val="clear" w:pos="811"/>
          <w:tab w:val="num" w:pos="709"/>
        </w:tabs>
        <w:spacing w:line="360" w:lineRule="atLeast"/>
        <w:ind w:left="720"/>
      </w:pPr>
      <w:r w:rsidRPr="003016AE">
        <w:t>VINOGRADOV</w:t>
      </w:r>
      <w:r w:rsidR="00D8117B" w:rsidRPr="003016AE">
        <w:t xml:space="preserve">, V. </w:t>
      </w:r>
      <w:r w:rsidR="00D8117B" w:rsidRPr="003016AE">
        <w:rPr>
          <w:i/>
          <w:iCs/>
        </w:rPr>
        <w:t>Mathematics for economists made simple</w:t>
      </w:r>
      <w:r w:rsidR="00D8117B" w:rsidRPr="003016AE">
        <w:t>. Prague : Charles University in Prague, Karolinum Press, 2010. 364 s.</w:t>
      </w:r>
      <w:r w:rsidRPr="003016AE">
        <w:t xml:space="preserve"> ISBN 978-80-246-1657-5.</w:t>
      </w:r>
    </w:p>
    <w:p w:rsidR="00034848" w:rsidRPr="00091D01" w:rsidRDefault="00034848" w:rsidP="003433BA">
      <w:pPr>
        <w:spacing w:line="360" w:lineRule="atLeast"/>
        <w:ind w:left="709" w:hanging="709"/>
        <w:rPr>
          <w:b/>
          <w:bCs/>
        </w:rPr>
      </w:pPr>
      <w:r w:rsidRPr="003016AE">
        <w:rPr>
          <w:b/>
          <w:bCs/>
        </w:rPr>
        <w:t>E</w:t>
      </w:r>
      <w:r w:rsidR="00BF1A20" w:rsidRPr="003016AE">
        <w:rPr>
          <w:b/>
          <w:bCs/>
        </w:rPr>
        <w:t>4</w:t>
      </w:r>
      <w:r w:rsidRPr="003016AE">
        <w:rPr>
          <w:b/>
          <w:bCs/>
        </w:rPr>
        <w:t xml:space="preserve">) </w:t>
      </w:r>
      <w:r w:rsidRPr="003016AE">
        <w:rPr>
          <w:b/>
          <w:bCs/>
        </w:rPr>
        <w:tab/>
        <w:t>Nerecenzované časopisy</w:t>
      </w:r>
    </w:p>
    <w:p w:rsidR="00A504A3" w:rsidRPr="00FF53D1" w:rsidRDefault="00FF53D1" w:rsidP="00226437">
      <w:pPr>
        <w:numPr>
          <w:ilvl w:val="0"/>
          <w:numId w:val="15"/>
        </w:numPr>
        <w:tabs>
          <w:tab w:val="clear" w:pos="811"/>
          <w:tab w:val="num" w:pos="709"/>
        </w:tabs>
        <w:spacing w:line="360" w:lineRule="atLeast"/>
        <w:ind w:left="709"/>
      </w:pPr>
      <w:r>
        <w:t>SLOBODYAN, S.</w:t>
      </w:r>
      <w:r w:rsidR="003016AE" w:rsidRPr="00FF53D1">
        <w:t>; VINOGRADOV, V.</w:t>
      </w:r>
      <w:r w:rsidR="00CE1F36" w:rsidRPr="00FF53D1">
        <w:t xml:space="preserve"> The demographic challenge of the Czech education and pension system. </w:t>
      </w:r>
      <w:r w:rsidR="00CE1F36" w:rsidRPr="00FF53D1">
        <w:rPr>
          <w:rStyle w:val="Emphasis"/>
        </w:rPr>
        <w:t>Beyond transition : the newsletter about reforming economies</w:t>
      </w:r>
      <w:r w:rsidR="00CE1F36" w:rsidRPr="00FF53D1">
        <w:t xml:space="preserve">, 2006, Roč. 17, č. 3, s. 23. ISSN 1936-5152. </w:t>
      </w:r>
      <w:hyperlink r:id="rId27" w:tooltip="link" w:history="1">
        <w:r w:rsidR="00CE1F36" w:rsidRPr="00FF53D1">
          <w:rPr>
            <w:rStyle w:val="Hyperlink"/>
          </w:rPr>
          <w:t>http://go.worldbank.org/72IA0Z4700</w:t>
        </w:r>
      </w:hyperlink>
      <w:r w:rsidR="003016AE" w:rsidRPr="00FF53D1">
        <w:t xml:space="preserve"> [50%]</w:t>
      </w:r>
      <w:r w:rsidRPr="00FF53D1">
        <w:t xml:space="preserve"> korespondenční autor</w:t>
      </w:r>
    </w:p>
    <w:p w:rsidR="00226437" w:rsidRPr="00040430" w:rsidRDefault="00226437" w:rsidP="00226437">
      <w:pPr>
        <w:spacing w:line="360" w:lineRule="atLeast"/>
        <w:ind w:left="709" w:hanging="720"/>
        <w:rPr>
          <w:b/>
          <w:bCs/>
          <w:color w:val="FF0000"/>
          <w:lang w:val="cs-CZ"/>
        </w:rPr>
      </w:pPr>
      <w:r w:rsidRPr="00FF53D1">
        <w:rPr>
          <w:b/>
          <w:bCs/>
        </w:rPr>
        <w:t>E5)</w:t>
      </w:r>
      <w:r w:rsidRPr="00FF53D1">
        <w:rPr>
          <w:b/>
          <w:bCs/>
        </w:rPr>
        <w:tab/>
        <w:t>Software</w:t>
      </w:r>
      <w:r w:rsidR="007A6E3B">
        <w:rPr>
          <w:b/>
          <w:bCs/>
          <w:color w:val="FF0000"/>
        </w:rPr>
        <w:t xml:space="preserve"> </w:t>
      </w:r>
    </w:p>
    <w:p w:rsidR="00225B66" w:rsidRPr="00693BBB" w:rsidRDefault="00116BE5" w:rsidP="00693BBB">
      <w:pPr>
        <w:numPr>
          <w:ilvl w:val="0"/>
          <w:numId w:val="16"/>
        </w:numPr>
        <w:tabs>
          <w:tab w:val="clear" w:pos="811"/>
          <w:tab w:val="num" w:pos="709"/>
        </w:tabs>
        <w:spacing w:line="360" w:lineRule="atLeast"/>
        <w:ind w:left="709"/>
      </w:pPr>
      <w:r w:rsidRPr="00226437">
        <w:t>SLOBODYAN</w:t>
      </w:r>
      <w:r w:rsidR="00226437" w:rsidRPr="00226437">
        <w:t xml:space="preserve">, S. ; </w:t>
      </w:r>
      <w:r w:rsidRPr="00226437">
        <w:t>VINOGRADOV</w:t>
      </w:r>
      <w:r w:rsidR="00226437" w:rsidRPr="00226437">
        <w:t>, V. Education/pension implicit rates of return. 2009. The program works within MATLAB environment.</w:t>
      </w:r>
    </w:p>
    <w:p w:rsidR="00034848" w:rsidRDefault="00034848" w:rsidP="00D8117B">
      <w:pPr>
        <w:spacing w:line="360" w:lineRule="atLeast"/>
        <w:ind w:left="709" w:hanging="720"/>
        <w:rPr>
          <w:b/>
          <w:bCs/>
        </w:rPr>
      </w:pPr>
      <w:r w:rsidRPr="00091D01">
        <w:rPr>
          <w:b/>
          <w:bCs/>
        </w:rPr>
        <w:t>F)</w:t>
      </w:r>
      <w:r w:rsidRPr="00091D01">
        <w:rPr>
          <w:b/>
          <w:bCs/>
        </w:rPr>
        <w:tab/>
        <w:t>Přednášky typu „invited speaker”</w:t>
      </w:r>
    </w:p>
    <w:p w:rsidR="00673C84" w:rsidRDefault="00673C84" w:rsidP="00673C84">
      <w:pPr>
        <w:pStyle w:val="ListParagraph"/>
        <w:numPr>
          <w:ilvl w:val="0"/>
          <w:numId w:val="18"/>
        </w:numPr>
        <w:ind w:left="270"/>
        <w:jc w:val="both"/>
      </w:pPr>
      <w:r>
        <w:t xml:space="preserve">SLOBODYAN, S., TRETIAKOV, P. </w:t>
      </w:r>
      <w:r>
        <w:rPr>
          <w:i/>
        </w:rPr>
        <w:t xml:space="preserve">Disinflation with Learning Agents in Open Economy. </w:t>
      </w:r>
      <w:r>
        <w:t>Workshop “Frontiers of Macroeconomic R</w:t>
      </w:r>
      <w:r w:rsidR="000557E9">
        <w:t>esearch” at HSE, Moscow, Russia,</w:t>
      </w:r>
      <w:r>
        <w:t xml:space="preserve"> October 19-20, 2018.</w:t>
      </w:r>
    </w:p>
    <w:p w:rsidR="005C5F31" w:rsidRPr="00C9499D" w:rsidRDefault="005C5F31" w:rsidP="00C340EF">
      <w:pPr>
        <w:pStyle w:val="ListParagraph"/>
        <w:numPr>
          <w:ilvl w:val="0"/>
          <w:numId w:val="18"/>
        </w:numPr>
        <w:ind w:left="270"/>
        <w:jc w:val="both"/>
      </w:pPr>
      <w:r w:rsidRPr="00C9499D">
        <w:rPr>
          <w:bCs/>
        </w:rPr>
        <w:t xml:space="preserve">SLOBODYAN, S. Discussion of </w:t>
      </w:r>
      <w:r w:rsidRPr="00C9499D">
        <w:rPr>
          <w:bCs/>
          <w:i/>
        </w:rPr>
        <w:t>“</w:t>
      </w:r>
      <w:r w:rsidRPr="00C9499D">
        <w:rPr>
          <w:bCs/>
          <w:i/>
          <w:iCs/>
          <w:color w:val="000000" w:themeColor="text1"/>
          <w:lang w:val="en-GB"/>
        </w:rPr>
        <w:t>The Role of Expectations in Changed Inflation Dynamics”</w:t>
      </w:r>
      <w:r w:rsidRPr="00C9499D">
        <w:rPr>
          <w:bCs/>
          <w:iCs/>
          <w:color w:val="000000" w:themeColor="text1"/>
          <w:lang w:val="en-GB"/>
        </w:rPr>
        <w:t xml:space="preserve"> by </w:t>
      </w:r>
      <w:r w:rsidRPr="00C9499D">
        <w:rPr>
          <w:bCs/>
          <w:lang w:val="en-GB"/>
        </w:rPr>
        <w:t>Damjan Pfajfar and</w:t>
      </w:r>
      <w:r w:rsidRPr="00C9499D">
        <w:rPr>
          <w:b/>
          <w:bCs/>
          <w:lang w:val="en-GB"/>
        </w:rPr>
        <w:t xml:space="preserve"> </w:t>
      </w:r>
      <w:r w:rsidRPr="00C9499D">
        <w:rPr>
          <w:bCs/>
          <w:lang w:val="en-GB"/>
        </w:rPr>
        <w:t xml:space="preserve">John M. Roberts. </w:t>
      </w:r>
      <w:r w:rsidRPr="00C9499D">
        <w:rPr>
          <w:color w:val="000000"/>
        </w:rPr>
        <w:t>Inflation: New Insights for Central Banks, 1</w:t>
      </w:r>
      <w:r w:rsidRPr="00C9499D">
        <w:rPr>
          <w:color w:val="000000"/>
          <w:vertAlign w:val="superscript"/>
        </w:rPr>
        <w:t>st</w:t>
      </w:r>
      <w:r w:rsidRPr="00C9499D">
        <w:rPr>
          <w:color w:val="000000"/>
        </w:rPr>
        <w:t xml:space="preserve"> research conference of the Bank of Russia, St Petersburg, Russia, June 6, 2018.</w:t>
      </w:r>
      <w:bookmarkStart w:id="0" w:name="_GoBack"/>
      <w:bookmarkEnd w:id="0"/>
    </w:p>
    <w:p w:rsidR="00B3390C" w:rsidRPr="0066674E" w:rsidRDefault="00B3390C" w:rsidP="0066674E">
      <w:pPr>
        <w:pStyle w:val="ListParagraph"/>
        <w:numPr>
          <w:ilvl w:val="0"/>
          <w:numId w:val="18"/>
        </w:numPr>
        <w:ind w:left="270"/>
        <w:jc w:val="both"/>
        <w:rPr>
          <w:b/>
          <w:bCs/>
          <w:lang w:val="en-GB"/>
        </w:rPr>
      </w:pPr>
      <w:r w:rsidRPr="00C9499D">
        <w:t xml:space="preserve">SLOBODYAN, S., TRETIAKOV, P. </w:t>
      </w:r>
      <w:r w:rsidRPr="00C9499D">
        <w:rPr>
          <w:i/>
        </w:rPr>
        <w:t xml:space="preserve">Disinflation with Learning Agents in Open Economy. </w:t>
      </w:r>
      <w:r w:rsidRPr="00E657DF">
        <w:t>Bank of Russia</w:t>
      </w:r>
      <w:r w:rsidR="00AD6637">
        <w:t xml:space="preserve"> R</w:t>
      </w:r>
      <w:r w:rsidR="0066674E">
        <w:t>esearch</w:t>
      </w:r>
      <w:r w:rsidR="00F97A96">
        <w:t xml:space="preserve"> S</w:t>
      </w:r>
      <w:r w:rsidR="0066674E">
        <w:t xml:space="preserve">eminar </w:t>
      </w:r>
      <w:r w:rsidR="00F97A96">
        <w:t>“</w:t>
      </w:r>
      <w:r w:rsidR="0066674E" w:rsidRPr="0066674E">
        <w:t>Using DSGE models for analysis of macroprudential and monetary policy</w:t>
      </w:r>
      <w:r w:rsidR="00F97A96">
        <w:t>.”</w:t>
      </w:r>
      <w:r w:rsidRPr="00E657DF">
        <w:t xml:space="preserve"> Moscow, Russia, May 16</w:t>
      </w:r>
      <w:r w:rsidR="0066674E">
        <w:t>-17</w:t>
      </w:r>
      <w:r w:rsidRPr="00E657DF">
        <w:t>, 2018.</w:t>
      </w:r>
    </w:p>
    <w:p w:rsidR="00C340EF" w:rsidRPr="0021262C" w:rsidRDefault="00C340EF" w:rsidP="00C340EF">
      <w:pPr>
        <w:pStyle w:val="ListParagraph"/>
        <w:numPr>
          <w:ilvl w:val="0"/>
          <w:numId w:val="18"/>
        </w:numPr>
        <w:ind w:left="270"/>
        <w:jc w:val="both"/>
      </w:pPr>
      <w:r w:rsidRPr="00E657DF">
        <w:t xml:space="preserve">SLOBODYAN, S., AUDZEI, V. </w:t>
      </w:r>
      <w:r w:rsidRPr="00E657DF">
        <w:rPr>
          <w:i/>
        </w:rPr>
        <w:t>Sparse Restricted Perception Equilibrium</w:t>
      </w:r>
      <w:r w:rsidRPr="00E657DF">
        <w:t>.</w:t>
      </w:r>
      <w:r w:rsidRPr="00226CF0">
        <w:t xml:space="preserve"> Seminar at the European Univ</w:t>
      </w:r>
      <w:r w:rsidR="000557E9" w:rsidRPr="00226CF0">
        <w:t>ersity in St Petersburg, Russia,</w:t>
      </w:r>
      <w:r w:rsidRPr="0021262C">
        <w:t xml:space="preserve"> March 12, 2018.</w:t>
      </w:r>
    </w:p>
    <w:p w:rsidR="00BC2C88" w:rsidRPr="0066674E" w:rsidRDefault="00BA74FD" w:rsidP="006E7B62">
      <w:pPr>
        <w:pStyle w:val="ListParagraph"/>
        <w:numPr>
          <w:ilvl w:val="0"/>
          <w:numId w:val="18"/>
        </w:numPr>
        <w:ind w:left="270"/>
        <w:jc w:val="both"/>
      </w:pPr>
      <w:r w:rsidRPr="0023249E">
        <w:rPr>
          <w:color w:val="000000"/>
        </w:rPr>
        <w:t xml:space="preserve">SLOBODYAN, S. </w:t>
      </w:r>
      <w:r w:rsidRPr="005C08A7">
        <w:rPr>
          <w:i/>
          <w:color w:val="000000"/>
        </w:rPr>
        <w:t>Inflation expectations of Russian Households</w:t>
      </w:r>
      <w:r w:rsidR="009C1F66">
        <w:rPr>
          <w:i/>
          <w:color w:val="000000"/>
        </w:rPr>
        <w:t>.</w:t>
      </w:r>
      <w:r w:rsidR="009C1F66">
        <w:rPr>
          <w:color w:val="000000"/>
        </w:rPr>
        <w:t xml:space="preserve"> The R</w:t>
      </w:r>
      <w:r w:rsidRPr="0066674E">
        <w:rPr>
          <w:color w:val="000000"/>
        </w:rPr>
        <w:t>oundtable “Central Banking: Past, Present, and Future”, European University in</w:t>
      </w:r>
      <w:r w:rsidR="000557E9" w:rsidRPr="0066674E">
        <w:rPr>
          <w:color w:val="000000"/>
        </w:rPr>
        <w:t xml:space="preserve"> St Petersburg, Russia,</w:t>
      </w:r>
      <w:r w:rsidRPr="0066674E">
        <w:rPr>
          <w:color w:val="000000"/>
        </w:rPr>
        <w:t xml:space="preserve"> January 24, 2018</w:t>
      </w:r>
      <w:r w:rsidR="00C9499D" w:rsidRPr="0066674E">
        <w:rPr>
          <w:color w:val="000000"/>
        </w:rPr>
        <w:t>.</w:t>
      </w:r>
    </w:p>
    <w:p w:rsidR="00BC2C88" w:rsidRPr="00C9499D" w:rsidRDefault="00BC2C88" w:rsidP="006E7B62">
      <w:pPr>
        <w:pStyle w:val="ListParagraph"/>
        <w:numPr>
          <w:ilvl w:val="0"/>
          <w:numId w:val="18"/>
        </w:numPr>
        <w:ind w:left="270"/>
        <w:jc w:val="both"/>
      </w:pPr>
      <w:r w:rsidRPr="0066674E">
        <w:t xml:space="preserve">SLOBODYAN, S. </w:t>
      </w:r>
      <w:r w:rsidR="000557E9" w:rsidRPr="00C9499D">
        <w:rPr>
          <w:bCs/>
        </w:rPr>
        <w:t xml:space="preserve">Discussion of </w:t>
      </w:r>
      <w:r w:rsidR="000557E9" w:rsidRPr="00C9499D">
        <w:rPr>
          <w:bCs/>
          <w:i/>
        </w:rPr>
        <w:t xml:space="preserve">“Evaluation of Central Bank Models: </w:t>
      </w:r>
      <w:r w:rsidR="00B92D9A">
        <w:rPr>
          <w:bCs/>
          <w:i/>
        </w:rPr>
        <w:t>Forecasting and Policy Analysis</w:t>
      </w:r>
      <w:r w:rsidR="000557E9" w:rsidRPr="00C9499D">
        <w:rPr>
          <w:bCs/>
          <w:i/>
        </w:rPr>
        <w:t>”</w:t>
      </w:r>
      <w:r w:rsidR="000557E9" w:rsidRPr="00C9499D">
        <w:rPr>
          <w:bCs/>
        </w:rPr>
        <w:t xml:space="preserve"> by Francesco Zanetti. </w:t>
      </w:r>
      <w:r w:rsidR="00F87650">
        <w:rPr>
          <w:bCs/>
        </w:rPr>
        <w:t>Bank of Russia Research S</w:t>
      </w:r>
      <w:r w:rsidR="00F87650" w:rsidRPr="00C9499D">
        <w:rPr>
          <w:bCs/>
        </w:rPr>
        <w:t xml:space="preserve">eminar </w:t>
      </w:r>
      <w:r w:rsidR="00F87650">
        <w:rPr>
          <w:bCs/>
        </w:rPr>
        <w:t>“</w:t>
      </w:r>
      <w:r w:rsidR="000557E9" w:rsidRPr="00C9499D">
        <w:rPr>
          <w:bCs/>
        </w:rPr>
        <w:t>Macroeconomic Model for Central Bank</w:t>
      </w:r>
      <w:r w:rsidR="00F87650">
        <w:rPr>
          <w:bCs/>
        </w:rPr>
        <w:t>s: Challenges and Perspectives”</w:t>
      </w:r>
      <w:r w:rsidR="000557E9" w:rsidRPr="00C9499D">
        <w:rPr>
          <w:bCs/>
        </w:rPr>
        <w:t xml:space="preserve">, </w:t>
      </w:r>
      <w:r w:rsidR="00B53F6A">
        <w:rPr>
          <w:color w:val="000000"/>
        </w:rPr>
        <w:t>Moscow</w:t>
      </w:r>
      <w:r w:rsidR="000557E9" w:rsidRPr="00C9499D">
        <w:rPr>
          <w:color w:val="000000"/>
        </w:rPr>
        <w:t>, Russia,</w:t>
      </w:r>
      <w:r w:rsidR="000557E9" w:rsidRPr="00C9499D">
        <w:rPr>
          <w:bCs/>
        </w:rPr>
        <w:t xml:space="preserve"> November 20, 2017.</w:t>
      </w:r>
    </w:p>
    <w:p w:rsidR="00B3390C" w:rsidRDefault="00B3390C" w:rsidP="006E7B62">
      <w:pPr>
        <w:pStyle w:val="ListParagraph"/>
        <w:numPr>
          <w:ilvl w:val="0"/>
          <w:numId w:val="18"/>
        </w:numPr>
        <w:ind w:left="270"/>
        <w:jc w:val="both"/>
      </w:pPr>
      <w:r w:rsidRPr="006E7B62">
        <w:lastRenderedPageBreak/>
        <w:t>SLOBODYAN, S., WOUTERS, R.</w:t>
      </w:r>
      <w:r w:rsidRPr="006E7B62">
        <w:rPr>
          <w:i/>
        </w:rPr>
        <w:t xml:space="preserve"> Adaptive Learning and Survey Expectations of Inflation</w:t>
      </w:r>
      <w:r w:rsidRPr="006E7B62">
        <w:t xml:space="preserve">. </w:t>
      </w:r>
      <w:r w:rsidR="000C5203">
        <w:t xml:space="preserve">Seminar at </w:t>
      </w:r>
      <w:r>
        <w:rPr>
          <w:bCs/>
        </w:rPr>
        <w:t>UPV/EHU, Bilbao, Spain, May 5, 2017.</w:t>
      </w:r>
    </w:p>
    <w:p w:rsidR="006E7B62" w:rsidRPr="006E7B62" w:rsidRDefault="006E7B62" w:rsidP="006E7B62">
      <w:pPr>
        <w:pStyle w:val="ListParagraph"/>
        <w:numPr>
          <w:ilvl w:val="0"/>
          <w:numId w:val="18"/>
        </w:numPr>
        <w:ind w:left="270"/>
        <w:jc w:val="both"/>
      </w:pPr>
      <w:r w:rsidRPr="006E7B62">
        <w:t>SLOBODYAN, S., WOUTERS, R.</w:t>
      </w:r>
      <w:r w:rsidRPr="006E7B62">
        <w:rPr>
          <w:i/>
        </w:rPr>
        <w:t xml:space="preserve"> Adaptive Learning and Survey Expectations of Inflation</w:t>
      </w:r>
      <w:r w:rsidRPr="006E7B62">
        <w:t xml:space="preserve">. Seminar at the Federal Reserve Board, Federal Reserve Board, Washington D.C., USA, </w:t>
      </w:r>
      <w:r w:rsidR="00137FF0">
        <w:t xml:space="preserve">October </w:t>
      </w:r>
      <w:r w:rsidRPr="006E7B62">
        <w:t>2016</w:t>
      </w:r>
      <w:r>
        <w:t>.</w:t>
      </w:r>
    </w:p>
    <w:p w:rsidR="006E7B62" w:rsidRPr="006E7B62" w:rsidRDefault="006E7B62" w:rsidP="00CA33F8">
      <w:pPr>
        <w:pStyle w:val="ListParagraph"/>
        <w:numPr>
          <w:ilvl w:val="0"/>
          <w:numId w:val="18"/>
        </w:numPr>
        <w:ind w:left="274"/>
        <w:jc w:val="both"/>
      </w:pPr>
      <w:r w:rsidRPr="006E7B62">
        <w:t>SLOBODYAN, S., W</w:t>
      </w:r>
      <w:r w:rsidR="00212AB5" w:rsidRPr="006E7B62">
        <w:t>OUTERS</w:t>
      </w:r>
      <w:r w:rsidRPr="006E7B62">
        <w:t xml:space="preserve">, R. </w:t>
      </w:r>
      <w:r w:rsidRPr="006E7B62">
        <w:rPr>
          <w:i/>
        </w:rPr>
        <w:t>Adaptive Learning and Survey Expectations of Inflation</w:t>
      </w:r>
      <w:r w:rsidRPr="006E7B62">
        <w:t xml:space="preserve">. 2016 Conference on Real-Time Data Analysis, Methods, and Applications, Federal Reserve Bank of Philadelphia, Center for Interuniversity Research and Analysis of Organizations (CIRANO), Centre interuniversitaire de recherche en économie quantitative (CIREQ), Philadelphia, USA, </w:t>
      </w:r>
      <w:r w:rsidR="00076FBD">
        <w:t xml:space="preserve">October </w:t>
      </w:r>
      <w:r w:rsidRPr="006E7B62">
        <w:t>2016</w:t>
      </w:r>
      <w:r>
        <w:t>.</w:t>
      </w:r>
    </w:p>
    <w:p w:rsidR="006E7B62" w:rsidRPr="006E7B62" w:rsidRDefault="006E7B62" w:rsidP="00CA33F8">
      <w:pPr>
        <w:pStyle w:val="ListParagraph"/>
        <w:numPr>
          <w:ilvl w:val="0"/>
          <w:numId w:val="18"/>
        </w:numPr>
        <w:ind w:left="274"/>
        <w:jc w:val="both"/>
      </w:pPr>
      <w:r w:rsidRPr="006E7B62">
        <w:t xml:space="preserve">SLOBODYAN, S., CHRISTEV, A. </w:t>
      </w:r>
      <w:r w:rsidRPr="006E7B62">
        <w:rPr>
          <w:i/>
        </w:rPr>
        <w:t>Welfare Losses and Fast Convergence of Adaptive Learning</w:t>
      </w:r>
      <w:r w:rsidRPr="006E7B62">
        <w:t>. 11</w:t>
      </w:r>
      <w:r w:rsidRPr="006E7B62">
        <w:rPr>
          <w:vertAlign w:val="superscript"/>
        </w:rPr>
        <w:t xml:space="preserve">th </w:t>
      </w:r>
      <w:r w:rsidRPr="006E7B62">
        <w:t xml:space="preserve">International Conference Challenges of Europe: Growth, Competitiveness and Inequality, University of Split, Split, Croatia, </w:t>
      </w:r>
      <w:r w:rsidR="00A94DF5">
        <w:t xml:space="preserve">May </w:t>
      </w:r>
      <w:r w:rsidRPr="006E7B62">
        <w:t>2015</w:t>
      </w:r>
      <w:r>
        <w:t>.</w:t>
      </w:r>
    </w:p>
    <w:p w:rsidR="006E7B62" w:rsidRPr="006E7B62" w:rsidRDefault="006E7B62" w:rsidP="006E7B62">
      <w:pPr>
        <w:pStyle w:val="ListParagraph"/>
        <w:numPr>
          <w:ilvl w:val="0"/>
          <w:numId w:val="18"/>
        </w:numPr>
        <w:ind w:left="270"/>
        <w:jc w:val="both"/>
        <w:rPr>
          <w:b/>
        </w:rPr>
      </w:pPr>
      <w:r w:rsidRPr="006E7B62">
        <w:t>SLOBODYAN, S.</w:t>
      </w:r>
      <w:r w:rsidR="00B3390C">
        <w:t xml:space="preserve"> Discussion of </w:t>
      </w:r>
      <w:r w:rsidR="004D26E2">
        <w:t>“</w:t>
      </w:r>
      <w:r w:rsidRPr="006E7B62">
        <w:rPr>
          <w:i/>
        </w:rPr>
        <w:t>In Search of a Nominal Anchor: What Drives Inflation Expectations?</w:t>
      </w:r>
      <w:r w:rsidR="004D26E2">
        <w:rPr>
          <w:i/>
        </w:rPr>
        <w:t>”</w:t>
      </w:r>
      <w:r w:rsidR="00C67D09">
        <w:rPr>
          <w:i/>
        </w:rPr>
        <w:t xml:space="preserve"> </w:t>
      </w:r>
      <w:r w:rsidR="005C08A7" w:rsidRPr="00C67D09">
        <w:t xml:space="preserve">by </w:t>
      </w:r>
      <w:r w:rsidR="00034255">
        <w:t>Carlos Carvalho.</w:t>
      </w:r>
      <w:r w:rsidRPr="006E7B62">
        <w:t xml:space="preserve"> Expectations in Dynamic Macroeconomics Models Conference</w:t>
      </w:r>
      <w:r w:rsidR="00EC7CEC">
        <w:t>.</w:t>
      </w:r>
      <w:r w:rsidRPr="006E7B62">
        <w:t xml:space="preserve"> University of Oregon, Eugene, USA, </w:t>
      </w:r>
      <w:r w:rsidR="00A94DF5">
        <w:t xml:space="preserve">December </w:t>
      </w:r>
      <w:r w:rsidRPr="006E7B62">
        <w:t>2015</w:t>
      </w:r>
      <w:r>
        <w:t>.</w:t>
      </w:r>
    </w:p>
    <w:p w:rsidR="006E7B62" w:rsidRDefault="006E7B62" w:rsidP="006E7B62">
      <w:pPr>
        <w:pStyle w:val="ListParagraph"/>
        <w:numPr>
          <w:ilvl w:val="0"/>
          <w:numId w:val="18"/>
        </w:numPr>
        <w:ind w:left="270"/>
        <w:jc w:val="both"/>
      </w:pPr>
      <w:r w:rsidRPr="006E7B62">
        <w:t xml:space="preserve">SLOBODYAN, S. </w:t>
      </w:r>
      <w:r w:rsidRPr="006E7B62">
        <w:rPr>
          <w:i/>
        </w:rPr>
        <w:t>Using the DSGE Model Database</w:t>
      </w:r>
      <w:r w:rsidRPr="006E7B62">
        <w:t xml:space="preserve">. Seminar on DYNARE Model Database and Its Adaptive Learning Extension, University of Economics, Zagreb, Croatia, </w:t>
      </w:r>
      <w:r w:rsidR="00A94DF5">
        <w:t xml:space="preserve">February </w:t>
      </w:r>
      <w:r w:rsidRPr="006E7B62">
        <w:t>2013</w:t>
      </w:r>
      <w:r>
        <w:t>.</w:t>
      </w:r>
    </w:p>
    <w:p w:rsidR="006E7B62" w:rsidRDefault="00484BD0" w:rsidP="006E7B62">
      <w:pPr>
        <w:pStyle w:val="ListParagraph"/>
        <w:numPr>
          <w:ilvl w:val="0"/>
          <w:numId w:val="18"/>
        </w:numPr>
        <w:ind w:left="270"/>
        <w:jc w:val="both"/>
      </w:pPr>
      <w:r>
        <w:t xml:space="preserve">SLOBODYAN, S.; </w:t>
      </w:r>
      <w:r w:rsidR="00B51AC3">
        <w:t xml:space="preserve">WOUTERS, R. </w:t>
      </w:r>
      <w:r w:rsidR="00B51AC3" w:rsidRPr="006E7B62">
        <w:rPr>
          <w:i/>
          <w:iCs/>
          <w:lang w:eastAsia="nl-NL"/>
        </w:rPr>
        <w:t xml:space="preserve">Estimating a medium–scale DSGE model with expectations based on small forecasting models. </w:t>
      </w:r>
      <w:r w:rsidR="00B51AC3">
        <w:t xml:space="preserve">Conference </w:t>
      </w:r>
      <w:r w:rsidR="00313233">
        <w:t>“Macroeconomic Models for Monetary Policy”, Federal Reserve Bank of Sa</w:t>
      </w:r>
      <w:r w:rsidR="006E7B62">
        <w:t>n Francisco, USA, March</w:t>
      </w:r>
      <w:r w:rsidR="00A94DF5">
        <w:t xml:space="preserve"> </w:t>
      </w:r>
      <w:r w:rsidR="006E7B62">
        <w:t>2009.</w:t>
      </w:r>
      <w:r w:rsidR="00313233">
        <w:t xml:space="preserve"> </w:t>
      </w:r>
    </w:p>
    <w:p w:rsidR="006E7B62" w:rsidRDefault="00484BD0" w:rsidP="006E7B62">
      <w:pPr>
        <w:pStyle w:val="ListParagraph"/>
        <w:numPr>
          <w:ilvl w:val="0"/>
          <w:numId w:val="18"/>
        </w:numPr>
        <w:ind w:left="270"/>
        <w:jc w:val="both"/>
      </w:pPr>
      <w:r>
        <w:t>SLOBODYAN, S.</w:t>
      </w:r>
      <w:r w:rsidR="00B51AC3">
        <w:t xml:space="preserve">; WOUTERS, R. </w:t>
      </w:r>
      <w:r w:rsidR="00B51AC3" w:rsidRPr="006E7B62">
        <w:rPr>
          <w:i/>
          <w:iCs/>
          <w:lang w:eastAsia="nl-NL"/>
        </w:rPr>
        <w:t xml:space="preserve">Estimating a medium–scale DSGE model with expectations based on small forecasting models. </w:t>
      </w:r>
      <w:r w:rsidR="00B51AC3">
        <w:t>Joint Lunchtime Seminar of European Central Bank (ECB), Center for Financial Studies (CFS), and Deutsc</w:t>
      </w:r>
      <w:r w:rsidR="006E7B62">
        <w:t>he Bundesbank. October 2008.</w:t>
      </w:r>
    </w:p>
    <w:p w:rsidR="006E7B62" w:rsidRDefault="00484BD0" w:rsidP="006E7B62">
      <w:pPr>
        <w:pStyle w:val="ListParagraph"/>
        <w:numPr>
          <w:ilvl w:val="0"/>
          <w:numId w:val="18"/>
        </w:numPr>
        <w:ind w:left="270"/>
        <w:jc w:val="both"/>
      </w:pPr>
      <w:r>
        <w:t>SLOBODYAN, S.</w:t>
      </w:r>
      <w:r w:rsidR="00B51AC3">
        <w:t xml:space="preserve">; WOUTERS, R. </w:t>
      </w:r>
      <w:r w:rsidR="00B51AC3" w:rsidRPr="006E7B62">
        <w:rPr>
          <w:i/>
          <w:iCs/>
          <w:lang w:eastAsia="nl-NL"/>
        </w:rPr>
        <w:t xml:space="preserve">Estimating a medium–scale DSGE model with expectations based on small forecasting models. </w:t>
      </w:r>
      <w:r w:rsidR="00B51AC3">
        <w:t xml:space="preserve">Conference </w:t>
      </w:r>
      <w:r w:rsidR="00313233">
        <w:t>“Adaptive Learning and Macroeconomic Policy”, Cambridge, UK, September</w:t>
      </w:r>
      <w:r w:rsidR="00A94DF5">
        <w:t xml:space="preserve"> </w:t>
      </w:r>
      <w:r w:rsidR="006E7B62">
        <w:t>2008.</w:t>
      </w:r>
    </w:p>
    <w:p w:rsidR="006E7B62" w:rsidRDefault="00484BD0" w:rsidP="006E7B62">
      <w:pPr>
        <w:pStyle w:val="ListParagraph"/>
        <w:numPr>
          <w:ilvl w:val="0"/>
          <w:numId w:val="18"/>
        </w:numPr>
        <w:ind w:left="270"/>
        <w:jc w:val="both"/>
      </w:pPr>
      <w:r>
        <w:t>SLOBODYAN, S.</w:t>
      </w:r>
      <w:r w:rsidR="00B51AC3">
        <w:t xml:space="preserve">; WOUTERS, R. </w:t>
      </w:r>
      <w:r w:rsidR="00B51AC3" w:rsidRPr="006E7B62">
        <w:rPr>
          <w:i/>
          <w:iCs/>
          <w:lang w:eastAsia="nl-NL"/>
        </w:rPr>
        <w:t xml:space="preserve">Estimating a medium–scale DSGE model with expectations based on small forecasting models. </w:t>
      </w:r>
      <w:r w:rsidR="00313233">
        <w:t>“Lear</w:t>
      </w:r>
      <w:r w:rsidR="00C24789">
        <w:t>ning</w:t>
      </w:r>
      <w:r w:rsidR="006E7B62">
        <w:t xml:space="preserve"> Week”, St. Louis, USA, July</w:t>
      </w:r>
      <w:r w:rsidR="00A94DF5">
        <w:t xml:space="preserve"> </w:t>
      </w:r>
      <w:r w:rsidR="00C24789">
        <w:t xml:space="preserve">2008. </w:t>
      </w:r>
    </w:p>
    <w:p w:rsidR="006E7B62" w:rsidRDefault="00484BD0" w:rsidP="00A27AA9">
      <w:pPr>
        <w:pStyle w:val="ListParagraph"/>
        <w:numPr>
          <w:ilvl w:val="0"/>
          <w:numId w:val="18"/>
        </w:numPr>
        <w:ind w:left="270"/>
        <w:jc w:val="both"/>
      </w:pPr>
      <w:r>
        <w:t>SLOBODYAN, S.</w:t>
      </w:r>
      <w:r w:rsidR="007B1D7B">
        <w:t xml:space="preserve">; WOUTERS, </w:t>
      </w:r>
      <w:r w:rsidR="00B51AC3">
        <w:t xml:space="preserve">R. </w:t>
      </w:r>
      <w:r w:rsidR="00B51AC3" w:rsidRPr="00A27AA9">
        <w:rPr>
          <w:i/>
          <w:iCs/>
          <w:lang w:eastAsia="nl-NL"/>
        </w:rPr>
        <w:t xml:space="preserve">Estimating a medium–scale DSGE model with expectations based on small forecasting models. </w:t>
      </w:r>
      <w:r w:rsidR="00313233">
        <w:t>CER</w:t>
      </w:r>
      <w:r w:rsidR="006E7B62">
        <w:t>T seminar, Edinburgh, UK, June</w:t>
      </w:r>
      <w:r w:rsidR="00A94DF5">
        <w:t xml:space="preserve"> </w:t>
      </w:r>
      <w:r w:rsidR="00313233">
        <w:t>2008.</w:t>
      </w:r>
    </w:p>
    <w:p w:rsidR="006E7B62" w:rsidRDefault="00484BD0" w:rsidP="00A94DF5">
      <w:pPr>
        <w:pStyle w:val="ListParagraph"/>
        <w:numPr>
          <w:ilvl w:val="0"/>
          <w:numId w:val="18"/>
        </w:numPr>
        <w:ind w:left="180"/>
        <w:jc w:val="both"/>
      </w:pPr>
      <w:r>
        <w:lastRenderedPageBreak/>
        <w:t>SLOBODYAN, S.</w:t>
      </w:r>
      <w:r w:rsidR="007B1D7B">
        <w:t xml:space="preserve">; WOUTERS, </w:t>
      </w:r>
      <w:r w:rsidR="00C24789">
        <w:t xml:space="preserve">R. </w:t>
      </w:r>
      <w:r w:rsidR="00C24789" w:rsidRPr="006E7B62">
        <w:rPr>
          <w:i/>
        </w:rPr>
        <w:t>Learning in an Estimated Medium-Scale DSGE Model.</w:t>
      </w:r>
      <w:r w:rsidR="00C24789">
        <w:t xml:space="preserve"> </w:t>
      </w:r>
      <w:r w:rsidR="00313233">
        <w:t xml:space="preserve">8th BoF-CEPR Conference "Expectations and Business Cycle Dynamics", Helsinki, Finland, </w:t>
      </w:r>
      <w:r w:rsidR="006E7B62">
        <w:t>November</w:t>
      </w:r>
      <w:r w:rsidR="00A94DF5">
        <w:t xml:space="preserve"> </w:t>
      </w:r>
      <w:r w:rsidR="00313233">
        <w:t>200</w:t>
      </w:r>
      <w:r w:rsidR="004F0505">
        <w:t>8</w:t>
      </w:r>
      <w:r w:rsidR="00A94DF5">
        <w:t>.</w:t>
      </w:r>
    </w:p>
    <w:p w:rsidR="006E7B62" w:rsidRDefault="00484BD0" w:rsidP="006E7B62">
      <w:pPr>
        <w:pStyle w:val="ListParagraph"/>
        <w:numPr>
          <w:ilvl w:val="0"/>
          <w:numId w:val="18"/>
        </w:numPr>
        <w:ind w:left="270"/>
        <w:jc w:val="both"/>
      </w:pPr>
      <w:r>
        <w:t>SLOBODYAN, S.</w:t>
      </w:r>
      <w:r w:rsidR="00C24789">
        <w:t xml:space="preserve">; WOUTERS, R. </w:t>
      </w:r>
      <w:r w:rsidR="00C24789" w:rsidRPr="006E7B62">
        <w:rPr>
          <w:i/>
        </w:rPr>
        <w:t>Learning in an Estimated Medium-Scale DSGE Model.</w:t>
      </w:r>
      <w:r w:rsidR="00C24789">
        <w:t xml:space="preserve"> </w:t>
      </w:r>
      <w:r w:rsidR="00313233">
        <w:t>Chair for Monetary Theory and Policy, Goethe University Frankfurt, Apr</w:t>
      </w:r>
      <w:r w:rsidR="00623169">
        <w:t>il</w:t>
      </w:r>
      <w:r w:rsidR="00A94DF5">
        <w:t xml:space="preserve"> </w:t>
      </w:r>
      <w:r w:rsidR="00313233">
        <w:t>2008.</w:t>
      </w:r>
    </w:p>
    <w:p w:rsidR="009E3B18" w:rsidRPr="003D7CC4" w:rsidRDefault="006E7B62" w:rsidP="006E7B62">
      <w:pPr>
        <w:pStyle w:val="ListParagraph"/>
        <w:numPr>
          <w:ilvl w:val="0"/>
          <w:numId w:val="18"/>
        </w:numPr>
        <w:ind w:left="270"/>
        <w:jc w:val="both"/>
      </w:pPr>
      <w:r>
        <w:t>KOLYUZHNOV</w:t>
      </w:r>
      <w:r w:rsidR="00484BD0">
        <w:t>, D.; BOGOMOLOVA, A.</w:t>
      </w:r>
      <w:r w:rsidR="008D37DF">
        <w:t xml:space="preserve">; SLOBODYAN, S. </w:t>
      </w:r>
      <w:r w:rsidR="00313233" w:rsidRPr="006E7B62">
        <w:rPr>
          <w:i/>
        </w:rPr>
        <w:t xml:space="preserve">Escape Dynamics: </w:t>
      </w:r>
      <w:r w:rsidR="008D37DF" w:rsidRPr="006E7B62">
        <w:rPr>
          <w:i/>
        </w:rPr>
        <w:t>A Continuous Time Approximation.</w:t>
      </w:r>
      <w:r w:rsidR="00313233">
        <w:t xml:space="preserve"> Seminars at National Bank of Belgium, Nottingham University, Queen University of Belfast, and Reading University, 2006.</w:t>
      </w:r>
    </w:p>
    <w:p w:rsidR="00034848" w:rsidRPr="00091D01" w:rsidRDefault="00034848" w:rsidP="00885027">
      <w:pPr>
        <w:tabs>
          <w:tab w:val="num" w:pos="709"/>
        </w:tabs>
        <w:spacing w:line="360" w:lineRule="atLeast"/>
        <w:ind w:left="709" w:hanging="720"/>
        <w:rPr>
          <w:b/>
          <w:bCs/>
        </w:rPr>
      </w:pPr>
      <w:r w:rsidRPr="00091D01">
        <w:rPr>
          <w:b/>
          <w:bCs/>
        </w:rPr>
        <w:t>J)</w:t>
      </w:r>
      <w:r w:rsidRPr="00091D01">
        <w:rPr>
          <w:b/>
          <w:bCs/>
        </w:rPr>
        <w:tab/>
        <w:t>Disertační, rigorózní práce</w:t>
      </w:r>
    </w:p>
    <w:p w:rsidR="00AF5E2C" w:rsidRPr="003A4443" w:rsidRDefault="006F47FB" w:rsidP="003A4443">
      <w:pPr>
        <w:numPr>
          <w:ilvl w:val="0"/>
          <w:numId w:val="9"/>
        </w:numPr>
        <w:tabs>
          <w:tab w:val="clear" w:pos="811"/>
          <w:tab w:val="num" w:pos="709"/>
        </w:tabs>
        <w:spacing w:line="360" w:lineRule="atLeast"/>
        <w:ind w:left="709"/>
        <w:rPr>
          <w:lang w:val="en-GB"/>
        </w:rPr>
      </w:pPr>
      <w:r>
        <w:rPr>
          <w:lang w:val="en-GB"/>
        </w:rPr>
        <w:t xml:space="preserve">SLOBODYAN, S. A. </w:t>
      </w:r>
      <w:r w:rsidRPr="006F47FB">
        <w:rPr>
          <w:i/>
          <w:lang w:val="en-GB"/>
        </w:rPr>
        <w:t>Welfare consequences of sunspot fluctuations in continuous time economic growth model</w:t>
      </w:r>
      <w:r>
        <w:rPr>
          <w:i/>
          <w:lang w:val="en-GB"/>
        </w:rPr>
        <w:t xml:space="preserve">. </w:t>
      </w:r>
      <w:r>
        <w:rPr>
          <w:lang w:val="en-GB"/>
        </w:rPr>
        <w:t>St. Louis: Washington University in St. Louis</w:t>
      </w:r>
      <w:r w:rsidR="00B3390C">
        <w:rPr>
          <w:lang w:val="en-GB"/>
        </w:rPr>
        <w:t>, 2000. ix, 126 pages</w:t>
      </w:r>
      <w:r w:rsidR="00885027">
        <w:rPr>
          <w:lang w:val="en-GB"/>
        </w:rPr>
        <w:t>. Ph.D. Thesis.</w:t>
      </w:r>
    </w:p>
    <w:p w:rsidR="00034848" w:rsidRDefault="00A60AA8" w:rsidP="00A60AA8">
      <w:pPr>
        <w:tabs>
          <w:tab w:val="num" w:pos="709"/>
        </w:tabs>
        <w:spacing w:line="360" w:lineRule="atLeast"/>
        <w:ind w:left="709" w:hanging="720"/>
        <w:rPr>
          <w:b/>
          <w:bCs/>
        </w:rPr>
      </w:pPr>
      <w:r>
        <w:rPr>
          <w:b/>
          <w:bCs/>
        </w:rPr>
        <w:t>K</w:t>
      </w:r>
      <w:r w:rsidR="00034848" w:rsidRPr="00091D01">
        <w:rPr>
          <w:b/>
          <w:bCs/>
        </w:rPr>
        <w:t xml:space="preserve">) </w:t>
      </w:r>
      <w:r w:rsidR="00034848" w:rsidRPr="00091D01">
        <w:rPr>
          <w:b/>
          <w:bCs/>
        </w:rPr>
        <w:tab/>
      </w:r>
      <w:r w:rsidR="00A813B6">
        <w:rPr>
          <w:b/>
          <w:bCs/>
        </w:rPr>
        <w:t>Abstrakta ze sjezdů a sympozií</w:t>
      </w:r>
    </w:p>
    <w:p w:rsidR="00A60AA8" w:rsidRDefault="00A60AA8" w:rsidP="00A60AA8">
      <w:pPr>
        <w:spacing w:before="0" w:line="360" w:lineRule="atLeast"/>
        <w:ind w:left="-11"/>
        <w:rPr>
          <w:lang w:val="en-GB"/>
        </w:rPr>
      </w:pPr>
    </w:p>
    <w:p w:rsidR="00202090" w:rsidRDefault="00202090" w:rsidP="00A60AA8">
      <w:pPr>
        <w:numPr>
          <w:ilvl w:val="0"/>
          <w:numId w:val="4"/>
        </w:numPr>
        <w:tabs>
          <w:tab w:val="num" w:pos="709"/>
        </w:tabs>
        <w:spacing w:before="0" w:line="360" w:lineRule="atLeast"/>
        <w:ind w:left="709"/>
        <w:rPr>
          <w:lang w:val="en-GB"/>
        </w:rPr>
      </w:pPr>
      <w:r>
        <w:rPr>
          <w:lang w:val="en-GB"/>
        </w:rPr>
        <w:t xml:space="preserve">SLOBODYAN, S. ; WOUTERS, R. </w:t>
      </w:r>
      <w:r w:rsidRPr="00501242">
        <w:rPr>
          <w:i/>
          <w:lang w:val="en-GB"/>
        </w:rPr>
        <w:t>Adaptive learning and survey</w:t>
      </w:r>
      <w:r w:rsidRPr="00501242">
        <w:rPr>
          <w:i/>
          <w:lang w:val="cs-CZ"/>
        </w:rPr>
        <w:t xml:space="preserve"> expectations of inflation</w:t>
      </w:r>
      <w:r>
        <w:rPr>
          <w:lang w:val="cs-CZ"/>
        </w:rPr>
        <w:t xml:space="preserve">. ECB Conference: Understanding inflation: lessons from the past, lessons for the future. 2016. </w:t>
      </w:r>
      <w:hyperlink r:id="rId28" w:history="1">
        <w:r w:rsidR="00FF56B9">
          <w:rPr>
            <w:rStyle w:val="Hyperlink"/>
            <w:lang w:val="cs-CZ"/>
          </w:rPr>
          <w:t>http:/</w:t>
        </w:r>
        <w:r w:rsidRPr="00202090">
          <w:rPr>
            <w:rStyle w:val="Hyperlink"/>
            <w:lang w:val="cs-CZ"/>
          </w:rPr>
          <w:t>w</w:t>
        </w:r>
        <w:r w:rsidR="00CE00FD">
          <w:rPr>
            <w:rStyle w:val="Hyperlink"/>
            <w:lang w:val="cs-CZ"/>
          </w:rPr>
          <w:t>ww.macfindrobods.eu/files/</w:t>
        </w:r>
        <w:r w:rsidRPr="00202090">
          <w:rPr>
            <w:rStyle w:val="Hyperlink"/>
            <w:lang w:val="cs-CZ"/>
          </w:rPr>
          <w:t>Slobodyan-wouters.pdf</w:t>
        </w:r>
      </w:hyperlink>
    </w:p>
    <w:p w:rsidR="00202090" w:rsidRDefault="00202090" w:rsidP="00202090">
      <w:pPr>
        <w:spacing w:before="0" w:line="360" w:lineRule="atLeast"/>
        <w:ind w:left="709"/>
        <w:rPr>
          <w:lang w:val="en-GB"/>
        </w:rPr>
      </w:pPr>
    </w:p>
    <w:p w:rsidR="0089413D" w:rsidRPr="00432A33" w:rsidRDefault="00A60AA8" w:rsidP="00A60AA8">
      <w:pPr>
        <w:numPr>
          <w:ilvl w:val="0"/>
          <w:numId w:val="4"/>
        </w:numPr>
        <w:tabs>
          <w:tab w:val="num" w:pos="709"/>
        </w:tabs>
        <w:spacing w:before="0" w:line="360" w:lineRule="atLeast"/>
        <w:ind w:left="709"/>
        <w:rPr>
          <w:lang w:val="en-GB"/>
        </w:rPr>
      </w:pPr>
      <w:r w:rsidRPr="00A9169A">
        <w:rPr>
          <w:lang w:val="en-GB"/>
        </w:rPr>
        <w:t xml:space="preserve">SLOBODYAN, S. ; WOUTERS, R. </w:t>
      </w:r>
      <w:r w:rsidRPr="003016AE">
        <w:rPr>
          <w:i/>
          <w:lang w:val="en-GB"/>
        </w:rPr>
        <w:t xml:space="preserve">Estimating a medium–scale DSGE model with expectations based on small forecasting models. </w:t>
      </w:r>
      <w:r w:rsidRPr="003016AE">
        <w:rPr>
          <w:lang w:val="en-GB"/>
        </w:rPr>
        <w:t xml:space="preserve">Society for Economic Dynamics Annual Meeting. </w:t>
      </w:r>
      <w:r w:rsidRPr="00A9169A">
        <w:rPr>
          <w:lang w:val="en-GB"/>
        </w:rPr>
        <w:t xml:space="preserve">Turkey, Istanbul, July 2-4, 2009. </w:t>
      </w:r>
      <w:hyperlink r:id="rId29" w:history="1">
        <w:r w:rsidRPr="00B7103B">
          <w:rPr>
            <w:rStyle w:val="Hyperlink"/>
          </w:rPr>
          <w:t>http://www.economicdynamics.org/meetpapers/2009/paper_654.pdf</w:t>
        </w:r>
      </w:hyperlink>
    </w:p>
    <w:p w:rsidR="00432A33" w:rsidRPr="00432A33" w:rsidRDefault="00432A33" w:rsidP="00432A33">
      <w:pPr>
        <w:numPr>
          <w:ilvl w:val="0"/>
          <w:numId w:val="4"/>
        </w:numPr>
        <w:tabs>
          <w:tab w:val="num" w:pos="709"/>
        </w:tabs>
        <w:spacing w:line="360" w:lineRule="atLeast"/>
        <w:ind w:left="709"/>
      </w:pPr>
      <w:r>
        <w:t xml:space="preserve">SLOBODYAN, S. ; WOUTERS, R. </w:t>
      </w:r>
      <w:r>
        <w:rPr>
          <w:rStyle w:val="Emphasis"/>
        </w:rPr>
        <w:t>Estimating a medium-scale DSGE model with expectations based on small forecasting models</w:t>
      </w:r>
      <w:r>
        <w:t>. Praha : Charles University, Center for Economic Research and Graduat</w:t>
      </w:r>
      <w:r w:rsidRPr="0051674C">
        <w:t xml:space="preserve">e Education : Academy of Sciences of the Czech Republic, Economics Institute, 2009. 46 s. (CERGE-EI Research Seminar Series : April 10, 2009). </w:t>
      </w:r>
      <w:hyperlink r:id="rId30" w:history="1">
        <w:r w:rsidRPr="0051674C">
          <w:rPr>
            <w:rStyle w:val="Hyperlink"/>
          </w:rPr>
          <w:t>http://www.cerge-ei.cz/pdf/events/papers/090410_t.pdf</w:t>
        </w:r>
      </w:hyperlink>
    </w:p>
    <w:p w:rsidR="00A9169A" w:rsidRPr="00520B7E" w:rsidRDefault="00A9169A" w:rsidP="00A9169A">
      <w:pPr>
        <w:pStyle w:val="ListParagraph"/>
        <w:numPr>
          <w:ilvl w:val="0"/>
          <w:numId w:val="4"/>
        </w:numPr>
        <w:tabs>
          <w:tab w:val="num" w:pos="709"/>
        </w:tabs>
        <w:spacing w:line="360" w:lineRule="atLeast"/>
        <w:ind w:left="709"/>
        <w:rPr>
          <w:bCs/>
        </w:rPr>
      </w:pPr>
      <w:r>
        <w:lastRenderedPageBreak/>
        <w:t xml:space="preserve">SLOBODYAN, S. </w:t>
      </w:r>
      <w:r>
        <w:rPr>
          <w:lang w:val="en-GB"/>
        </w:rPr>
        <w:t xml:space="preserve">; </w:t>
      </w:r>
      <w:r w:rsidRPr="00A9169A">
        <w:rPr>
          <w:lang w:val="en-GB"/>
        </w:rPr>
        <w:t>WOUTERS, R.</w:t>
      </w:r>
      <w:r>
        <w:rPr>
          <w:lang w:val="en-GB"/>
        </w:rPr>
        <w:t xml:space="preserve"> </w:t>
      </w:r>
      <w:r w:rsidRPr="003016AE">
        <w:rPr>
          <w:i/>
          <w:lang w:val="en-GB"/>
        </w:rPr>
        <w:t xml:space="preserve">Learning dynamics in an estimated medium-sized DSGE model. </w:t>
      </w:r>
      <w:r w:rsidRPr="00A9169A">
        <w:rPr>
          <w:lang w:val="en-GB"/>
        </w:rPr>
        <w:t xml:space="preserve">Society for Economic Dynamics Annual Meeting. </w:t>
      </w:r>
      <w:r>
        <w:rPr>
          <w:lang w:val="en-GB"/>
        </w:rPr>
        <w:t>Czech Republic, Prague, June 28-30, 2007.</w:t>
      </w:r>
    </w:p>
    <w:p w:rsidR="009A22CA" w:rsidRPr="00AF5E2C" w:rsidRDefault="003016AE" w:rsidP="00AF5E2C">
      <w:pPr>
        <w:pStyle w:val="ListParagraph"/>
        <w:numPr>
          <w:ilvl w:val="0"/>
          <w:numId w:val="4"/>
        </w:numPr>
        <w:tabs>
          <w:tab w:val="num" w:pos="709"/>
        </w:tabs>
        <w:spacing w:line="360" w:lineRule="atLeast"/>
        <w:ind w:left="709"/>
        <w:rPr>
          <w:bCs/>
        </w:rPr>
      </w:pPr>
      <w:r w:rsidRPr="003016AE">
        <w:rPr>
          <w:bCs/>
        </w:rPr>
        <w:t xml:space="preserve">SLOBODYAN, S. ; CHRISTEV, A. </w:t>
      </w:r>
      <w:r w:rsidRPr="003016AE">
        <w:rPr>
          <w:bCs/>
          <w:i/>
        </w:rPr>
        <w:t xml:space="preserve">On learnability of E–stable equilibria. </w:t>
      </w:r>
      <w:r w:rsidR="00FF453B">
        <w:rPr>
          <w:bCs/>
        </w:rPr>
        <w:t xml:space="preserve">Society for Computational Economics, </w:t>
      </w:r>
      <w:r w:rsidRPr="003016AE">
        <w:rPr>
          <w:bCs/>
        </w:rPr>
        <w:t>12</w:t>
      </w:r>
      <w:r w:rsidR="004F501E" w:rsidRPr="004F501E">
        <w:rPr>
          <w:bCs/>
          <w:vertAlign w:val="superscript"/>
        </w:rPr>
        <w:t>th</w:t>
      </w:r>
      <w:r w:rsidR="004F501E">
        <w:rPr>
          <w:bCs/>
        </w:rPr>
        <w:t xml:space="preserve"> </w:t>
      </w:r>
      <w:r w:rsidRPr="003016AE">
        <w:rPr>
          <w:bCs/>
        </w:rPr>
        <w:t>International Conference on Computing in Economics and Finance</w:t>
      </w:r>
      <w:r>
        <w:rPr>
          <w:bCs/>
        </w:rPr>
        <w:t>. Cyprus, Limassol, June 22-24, 2006.</w:t>
      </w:r>
      <w:r w:rsidR="00FF453B">
        <w:rPr>
          <w:bCs/>
        </w:rPr>
        <w:t xml:space="preserve"> </w:t>
      </w:r>
      <w:hyperlink r:id="rId31" w:history="1">
        <w:r w:rsidR="00FF453B" w:rsidRPr="00756024">
          <w:rPr>
            <w:rStyle w:val="Hyperlink"/>
          </w:rPr>
          <w:t>http://repec.org/sce2006/up.30186.1141164474.pdf</w:t>
        </w:r>
      </w:hyperlink>
    </w:p>
    <w:p w:rsidR="00C661F3" w:rsidRPr="003A4443" w:rsidRDefault="00FF453B" w:rsidP="003A4443">
      <w:pPr>
        <w:pStyle w:val="ListParagraph"/>
        <w:numPr>
          <w:ilvl w:val="0"/>
          <w:numId w:val="4"/>
        </w:numPr>
        <w:tabs>
          <w:tab w:val="num" w:pos="709"/>
        </w:tabs>
        <w:spacing w:line="360" w:lineRule="atLeast"/>
        <w:ind w:left="709"/>
        <w:rPr>
          <w:bCs/>
        </w:rPr>
      </w:pPr>
      <w:r w:rsidRPr="00FF453B">
        <w:rPr>
          <w:bCs/>
        </w:rPr>
        <w:t>SLOBODYAN, S. ; BO</w:t>
      </w:r>
      <w:r w:rsidR="007A6E3B">
        <w:rPr>
          <w:bCs/>
        </w:rPr>
        <w:t xml:space="preserve">GOMOPLOVA, A. ; KOLYUZHNOV, D. </w:t>
      </w:r>
      <w:r w:rsidRPr="00FF453B">
        <w:rPr>
          <w:bCs/>
          <w:i/>
        </w:rPr>
        <w:t xml:space="preserve">Stochastic gradient versus recursive least squares learning. </w:t>
      </w:r>
      <w:r w:rsidRPr="00FF453B">
        <w:rPr>
          <w:bCs/>
        </w:rPr>
        <w:t>Society for Computational Economics, 12</w:t>
      </w:r>
      <w:r w:rsidR="004F501E" w:rsidRPr="004F501E">
        <w:rPr>
          <w:bCs/>
          <w:vertAlign w:val="superscript"/>
        </w:rPr>
        <w:t>th</w:t>
      </w:r>
      <w:r w:rsidR="004F501E">
        <w:rPr>
          <w:bCs/>
        </w:rPr>
        <w:t xml:space="preserve"> </w:t>
      </w:r>
      <w:r w:rsidRPr="00FF453B">
        <w:rPr>
          <w:bCs/>
        </w:rPr>
        <w:t xml:space="preserve">International Conference on Computing in Economics and Finance. Cyprus, Limassol, June 22-24, 2006. </w:t>
      </w:r>
      <w:hyperlink r:id="rId32" w:history="1">
        <w:r w:rsidRPr="00756024">
          <w:rPr>
            <w:rStyle w:val="Hyperlink"/>
          </w:rPr>
          <w:t>http://repec.org/sce2006/up.28420.1141162925.pdf</w:t>
        </w:r>
      </w:hyperlink>
    </w:p>
    <w:p w:rsidR="00FF453B" w:rsidRPr="00040DD1" w:rsidRDefault="009550E8" w:rsidP="00040DD1">
      <w:pPr>
        <w:pStyle w:val="ListParagraph"/>
        <w:numPr>
          <w:ilvl w:val="0"/>
          <w:numId w:val="4"/>
        </w:numPr>
        <w:tabs>
          <w:tab w:val="num" w:pos="709"/>
        </w:tabs>
        <w:spacing w:line="360" w:lineRule="atLeast"/>
        <w:ind w:left="709"/>
        <w:rPr>
          <w:bCs/>
        </w:rPr>
      </w:pPr>
      <w:r>
        <w:t xml:space="preserve">SLOBODYAN, S. </w:t>
      </w:r>
      <w:r w:rsidR="00040DD1" w:rsidRPr="00040DD1">
        <w:rPr>
          <w:i/>
        </w:rPr>
        <w:t>One sector models, indeterminacy, and productive public spending</w:t>
      </w:r>
      <w:r w:rsidR="00040DD1">
        <w:rPr>
          <w:i/>
        </w:rPr>
        <w:t xml:space="preserve">. </w:t>
      </w:r>
      <w:r w:rsidR="00040DD1" w:rsidRPr="00FF453B">
        <w:rPr>
          <w:bCs/>
        </w:rPr>
        <w:t>Society for Computational Economics, 1</w:t>
      </w:r>
      <w:r w:rsidR="00040DD1">
        <w:rPr>
          <w:bCs/>
        </w:rPr>
        <w:t>0</w:t>
      </w:r>
      <w:r w:rsidR="00040DD1" w:rsidRPr="00FF453B">
        <w:rPr>
          <w:bCs/>
        </w:rPr>
        <w:t>th International Conference on Computing in Economics and Finance.</w:t>
      </w:r>
      <w:r w:rsidR="00040DD1">
        <w:rPr>
          <w:bCs/>
        </w:rPr>
        <w:t xml:space="preserve"> Netherlands, Amsterdam, July 8-10, 2004. </w:t>
      </w:r>
      <w:hyperlink r:id="rId33" w:history="1">
        <w:r w:rsidR="00040DD1" w:rsidRPr="00756024">
          <w:rPr>
            <w:rStyle w:val="Hyperlink"/>
          </w:rPr>
          <w:t>http://repec.org/sce2004/up.22750.1078083491.pdf</w:t>
        </w:r>
      </w:hyperlink>
    </w:p>
    <w:p w:rsidR="00040DD1" w:rsidRDefault="00040DD1" w:rsidP="00040DD1">
      <w:pPr>
        <w:pStyle w:val="ListParagraph"/>
        <w:numPr>
          <w:ilvl w:val="0"/>
          <w:numId w:val="4"/>
        </w:numPr>
        <w:tabs>
          <w:tab w:val="num" w:pos="709"/>
        </w:tabs>
        <w:spacing w:line="360" w:lineRule="atLeast"/>
        <w:ind w:left="709"/>
        <w:rPr>
          <w:bCs/>
        </w:rPr>
      </w:pPr>
      <w:r>
        <w:t>SLOBODYAN, S.</w:t>
      </w:r>
      <w:r w:rsidR="00E7701F">
        <w:t xml:space="preserve"> ; ORTMANN, A. </w:t>
      </w:r>
      <w:r w:rsidRPr="00040DD1">
        <w:rPr>
          <w:i/>
        </w:rPr>
        <w:t>(The Evolution of) Post-Secondary Education: A Computational Model and Experiments</w:t>
      </w:r>
      <w:r>
        <w:rPr>
          <w:i/>
        </w:rPr>
        <w:t xml:space="preserve">. </w:t>
      </w:r>
      <w:r w:rsidRPr="00FF453B">
        <w:rPr>
          <w:bCs/>
        </w:rPr>
        <w:t>Society for Computational Economics, 1</w:t>
      </w:r>
      <w:r>
        <w:rPr>
          <w:bCs/>
        </w:rPr>
        <w:t>0</w:t>
      </w:r>
      <w:r w:rsidR="004F501E" w:rsidRPr="004F501E">
        <w:rPr>
          <w:bCs/>
          <w:vertAlign w:val="superscript"/>
        </w:rPr>
        <w:t>th</w:t>
      </w:r>
      <w:r w:rsidR="004F501E">
        <w:rPr>
          <w:bCs/>
        </w:rPr>
        <w:t xml:space="preserve"> </w:t>
      </w:r>
      <w:r w:rsidRPr="00FF453B">
        <w:rPr>
          <w:bCs/>
        </w:rPr>
        <w:t>International Conference on Computing in Economics and Finance.</w:t>
      </w:r>
      <w:r>
        <w:rPr>
          <w:bCs/>
        </w:rPr>
        <w:t xml:space="preserve"> Netherlands, Amsterdam, July 8-10, 2004. </w:t>
      </w:r>
    </w:p>
    <w:p w:rsidR="00040DD1" w:rsidRPr="004F501E" w:rsidRDefault="00701941" w:rsidP="004F501E">
      <w:pPr>
        <w:pStyle w:val="ListParagraph"/>
        <w:numPr>
          <w:ilvl w:val="0"/>
          <w:numId w:val="4"/>
        </w:numPr>
        <w:tabs>
          <w:tab w:val="num" w:pos="709"/>
        </w:tabs>
        <w:spacing w:line="360" w:lineRule="atLeast"/>
        <w:ind w:left="709"/>
        <w:rPr>
          <w:bCs/>
        </w:rPr>
      </w:pPr>
      <w:r w:rsidRPr="004F501E">
        <w:rPr>
          <w:bCs/>
        </w:rPr>
        <w:t xml:space="preserve">SLOBODYAN, S. </w:t>
      </w:r>
      <w:r w:rsidRPr="004F501E">
        <w:rPr>
          <w:bCs/>
          <w:i/>
        </w:rPr>
        <w:t xml:space="preserve">Indeterminacy, sunspots, and development traps. </w:t>
      </w:r>
      <w:r w:rsidR="0039799F" w:rsidRPr="004F501E">
        <w:rPr>
          <w:bCs/>
        </w:rPr>
        <w:t>Society for Computational Economics, 8</w:t>
      </w:r>
      <w:r w:rsidR="004F501E" w:rsidRPr="004F501E">
        <w:rPr>
          <w:bCs/>
          <w:vertAlign w:val="superscript"/>
        </w:rPr>
        <w:t>th</w:t>
      </w:r>
      <w:r w:rsidR="004F501E" w:rsidRPr="004F501E">
        <w:rPr>
          <w:bCs/>
        </w:rPr>
        <w:t xml:space="preserve"> </w:t>
      </w:r>
      <w:r w:rsidR="0039799F" w:rsidRPr="004F501E">
        <w:rPr>
          <w:bCs/>
        </w:rPr>
        <w:t>International Conference on Computing in Economics and Finance. France, Aix-en-Provence, June 27-29, 2002.</w:t>
      </w:r>
    </w:p>
    <w:p w:rsidR="0039799F" w:rsidRPr="004F501E" w:rsidRDefault="00A870A1" w:rsidP="004F501E">
      <w:pPr>
        <w:pStyle w:val="ListParagraph"/>
        <w:numPr>
          <w:ilvl w:val="0"/>
          <w:numId w:val="4"/>
        </w:numPr>
        <w:tabs>
          <w:tab w:val="num" w:pos="709"/>
        </w:tabs>
        <w:spacing w:line="360" w:lineRule="atLeast"/>
        <w:ind w:left="709"/>
        <w:rPr>
          <w:bCs/>
        </w:rPr>
      </w:pPr>
      <w:r w:rsidRPr="004F501E">
        <w:rPr>
          <w:bCs/>
        </w:rPr>
        <w:t xml:space="preserve">SLOBODYAN, S. </w:t>
      </w:r>
      <w:r w:rsidRPr="004F501E">
        <w:rPr>
          <w:bCs/>
          <w:i/>
        </w:rPr>
        <w:t>Sunspot fluctuations: a way out of a development trap?</w:t>
      </w:r>
      <w:r w:rsidRPr="004F501E">
        <w:rPr>
          <w:bCs/>
        </w:rPr>
        <w:t xml:space="preserve"> Econometric Society 8</w:t>
      </w:r>
      <w:r w:rsidRPr="004F501E">
        <w:rPr>
          <w:bCs/>
          <w:vertAlign w:val="superscript"/>
        </w:rPr>
        <w:t>th</w:t>
      </w:r>
      <w:r w:rsidRPr="004F501E">
        <w:rPr>
          <w:bCs/>
        </w:rPr>
        <w:t xml:space="preserve"> World Congress 2000. </w:t>
      </w:r>
      <w:r w:rsidR="004F501E" w:rsidRPr="004F501E">
        <w:rPr>
          <w:bCs/>
        </w:rPr>
        <w:t>Washington, Seattle, August 11-16, 2000.</w:t>
      </w:r>
    </w:p>
    <w:p w:rsidR="004F501E" w:rsidRPr="004F501E" w:rsidRDefault="004F501E" w:rsidP="004F501E">
      <w:pPr>
        <w:pStyle w:val="ListParagraph"/>
        <w:numPr>
          <w:ilvl w:val="0"/>
          <w:numId w:val="4"/>
        </w:numPr>
        <w:tabs>
          <w:tab w:val="num" w:pos="709"/>
        </w:tabs>
        <w:spacing w:line="360" w:lineRule="atLeast"/>
        <w:ind w:left="709"/>
        <w:rPr>
          <w:bCs/>
        </w:rPr>
      </w:pPr>
      <w:r w:rsidRPr="004F501E">
        <w:rPr>
          <w:bCs/>
        </w:rPr>
        <w:t xml:space="preserve">SLOBODYAN, S. </w:t>
      </w:r>
      <w:r w:rsidRPr="004F501E">
        <w:rPr>
          <w:bCs/>
          <w:i/>
        </w:rPr>
        <w:t xml:space="preserve">Sunspot fluctuations: a way out of a development trap? </w:t>
      </w:r>
      <w:r w:rsidRPr="004F501E">
        <w:rPr>
          <w:bCs/>
        </w:rPr>
        <w:t xml:space="preserve">Society for Computational Economics, Computational Economics Conference, Boston, MA, 1999. </w:t>
      </w:r>
      <w:hyperlink r:id="rId34" w:history="1">
        <w:r w:rsidRPr="004F501E">
          <w:rPr>
            <w:rStyle w:val="Hyperlink"/>
            <w:bCs/>
            <w:color w:val="auto"/>
          </w:rPr>
          <w:t>http://ideas.repec.org/p/sce/scecf9/922.html</w:t>
        </w:r>
      </w:hyperlink>
      <w:r w:rsidR="007A6E3B">
        <w:rPr>
          <w:bCs/>
        </w:rPr>
        <w:t>.</w:t>
      </w:r>
    </w:p>
    <w:p w:rsidR="00AB1ED2" w:rsidRDefault="00AB1ED2" w:rsidP="00AB1ED2">
      <w:pPr>
        <w:tabs>
          <w:tab w:val="num" w:pos="709"/>
        </w:tabs>
        <w:spacing w:line="360" w:lineRule="atLeast"/>
        <w:ind w:left="709" w:hanging="720"/>
        <w:rPr>
          <w:b/>
          <w:bCs/>
          <w:lang w:val="cs-CZ"/>
        </w:rPr>
      </w:pPr>
      <w:r w:rsidRPr="004F501E">
        <w:rPr>
          <w:b/>
          <w:bCs/>
        </w:rPr>
        <w:lastRenderedPageBreak/>
        <w:t xml:space="preserve">L) </w:t>
      </w:r>
      <w:r w:rsidRPr="004F501E">
        <w:rPr>
          <w:b/>
          <w:bCs/>
        </w:rPr>
        <w:tab/>
        <w:t>Účast na řešení grantů (hlavn</w:t>
      </w:r>
      <w:r w:rsidRPr="004F501E">
        <w:rPr>
          <w:b/>
          <w:bCs/>
          <w:lang w:val="cs-CZ"/>
        </w:rPr>
        <w:t>í řešitel)</w:t>
      </w:r>
    </w:p>
    <w:p w:rsidR="008F5242" w:rsidRDefault="00794767" w:rsidP="00794767">
      <w:pPr>
        <w:pStyle w:val="ListParagraph"/>
        <w:numPr>
          <w:ilvl w:val="0"/>
          <w:numId w:val="19"/>
        </w:numPr>
        <w:tabs>
          <w:tab w:val="num" w:pos="709"/>
        </w:tabs>
        <w:spacing w:line="360" w:lineRule="atLeast"/>
        <w:rPr>
          <w:bCs/>
          <w:lang w:val="cs-CZ"/>
        </w:rPr>
      </w:pPr>
      <w:r w:rsidRPr="00794767">
        <w:rPr>
          <w:bCs/>
          <w:lang w:val="cs-CZ"/>
        </w:rPr>
        <w:t xml:space="preserve">European Commission FP7 Program, MACFINROBODS </w:t>
      </w:r>
      <w:r w:rsidRPr="00794767">
        <w:rPr>
          <w:bCs/>
          <w:i/>
          <w:lang w:val="cs-CZ"/>
        </w:rPr>
        <w:t>(Integrated Macro-Financial Modelling for Robust Policy Design</w:t>
      </w:r>
      <w:r w:rsidR="00F42819">
        <w:rPr>
          <w:bCs/>
          <w:lang w:val="cs-CZ"/>
        </w:rPr>
        <w:t>). Období řešení projektu:</w:t>
      </w:r>
      <w:r w:rsidRPr="00794767">
        <w:rPr>
          <w:bCs/>
          <w:lang w:val="cs-CZ"/>
        </w:rPr>
        <w:t xml:space="preserve"> </w:t>
      </w:r>
    </w:p>
    <w:p w:rsidR="00794767" w:rsidRPr="00794767" w:rsidRDefault="00794767" w:rsidP="008F5242">
      <w:pPr>
        <w:pStyle w:val="ListParagraph"/>
        <w:spacing w:before="0" w:line="360" w:lineRule="atLeast"/>
        <w:ind w:left="706"/>
        <w:rPr>
          <w:bCs/>
          <w:lang w:val="cs-CZ"/>
        </w:rPr>
      </w:pPr>
      <w:r w:rsidRPr="00794767">
        <w:rPr>
          <w:bCs/>
          <w:lang w:val="cs-CZ"/>
        </w:rPr>
        <w:t>2014-2017.</w:t>
      </w:r>
    </w:p>
    <w:p w:rsidR="00794767" w:rsidRPr="00794767" w:rsidRDefault="00794767" w:rsidP="00794767">
      <w:pPr>
        <w:pStyle w:val="ListParagraph"/>
        <w:numPr>
          <w:ilvl w:val="0"/>
          <w:numId w:val="19"/>
        </w:numPr>
        <w:tabs>
          <w:tab w:val="num" w:pos="709"/>
        </w:tabs>
        <w:spacing w:line="360" w:lineRule="atLeast"/>
        <w:rPr>
          <w:b/>
          <w:bCs/>
          <w:lang w:val="cs-CZ"/>
        </w:rPr>
      </w:pPr>
      <w:r w:rsidRPr="00794767">
        <w:rPr>
          <w:bCs/>
          <w:lang w:val="cs-CZ"/>
        </w:rPr>
        <w:t>Global Development Network (GDN) RRC</w:t>
      </w:r>
      <w:r w:rsidR="00951C6E" w:rsidRPr="00951C6E">
        <w:rPr>
          <w:bCs/>
          <w:lang w:val="cs-CZ"/>
        </w:rPr>
        <w:t xml:space="preserve"> </w:t>
      </w:r>
      <w:r w:rsidR="00951C6E" w:rsidRPr="00292FB7">
        <w:rPr>
          <w:bCs/>
          <w:lang w:val="cs-CZ"/>
        </w:rPr>
        <w:t>XIV-069</w:t>
      </w:r>
      <w:r w:rsidRPr="00794767">
        <w:rPr>
          <w:bCs/>
          <w:lang w:val="cs-CZ"/>
        </w:rPr>
        <w:t xml:space="preserve"> </w:t>
      </w:r>
      <w:r w:rsidR="000D3F1C">
        <w:rPr>
          <w:bCs/>
          <w:lang w:val="cs-CZ"/>
        </w:rPr>
        <w:t xml:space="preserve">- </w:t>
      </w:r>
      <w:r w:rsidRPr="00794767">
        <w:rPr>
          <w:bCs/>
          <w:i/>
          <w:lang w:val="cs-CZ"/>
        </w:rPr>
        <w:t>Time-Varying Parameters Forecasting with Real-Time Data for Russia</w:t>
      </w:r>
      <w:r w:rsidR="00F42819">
        <w:rPr>
          <w:bCs/>
          <w:lang w:val="cs-CZ"/>
        </w:rPr>
        <w:t>. Období řešení projektu</w:t>
      </w:r>
      <w:r w:rsidR="003F3842">
        <w:rPr>
          <w:bCs/>
          <w:lang w:val="cs-CZ"/>
        </w:rPr>
        <w:t>:</w:t>
      </w:r>
      <w:r w:rsidR="00F42819">
        <w:rPr>
          <w:bCs/>
          <w:lang w:val="cs-CZ"/>
        </w:rPr>
        <w:t xml:space="preserve"> </w:t>
      </w:r>
      <w:r w:rsidRPr="00794767">
        <w:rPr>
          <w:bCs/>
          <w:lang w:val="cs-CZ"/>
        </w:rPr>
        <w:t>2014</w:t>
      </w:r>
      <w:r w:rsidR="00F20CF4">
        <w:rPr>
          <w:bCs/>
          <w:lang w:val="cs-CZ"/>
        </w:rPr>
        <w:t>-2015</w:t>
      </w:r>
      <w:r w:rsidRPr="00F42819">
        <w:rPr>
          <w:bCs/>
          <w:lang w:val="cs-CZ"/>
        </w:rPr>
        <w:t>.</w:t>
      </w:r>
    </w:p>
    <w:p w:rsidR="0024528D" w:rsidRDefault="0024528D" w:rsidP="00794767">
      <w:pPr>
        <w:numPr>
          <w:ilvl w:val="0"/>
          <w:numId w:val="19"/>
        </w:numPr>
        <w:spacing w:line="360" w:lineRule="atLeast"/>
        <w:rPr>
          <w:lang w:val="en-GB"/>
        </w:rPr>
      </w:pPr>
      <w:r>
        <w:rPr>
          <w:lang w:val="en-GB"/>
        </w:rPr>
        <w:t>Projekt Grantové agentury České r</w:t>
      </w:r>
      <w:r w:rsidR="006E02DE">
        <w:rPr>
          <w:lang w:val="en-GB"/>
        </w:rPr>
        <w:t xml:space="preserve">epubliky </w:t>
      </w:r>
      <w:r>
        <w:rPr>
          <w:lang w:val="en-GB"/>
        </w:rPr>
        <w:t xml:space="preserve">14-29410S - </w:t>
      </w:r>
      <w:r w:rsidRPr="0024528D">
        <w:rPr>
          <w:i/>
          <w:lang w:val="en-GB"/>
        </w:rPr>
        <w:t xml:space="preserve">Důsledky nízké konvergenční rychlosti ve vývoji průměru v modelech s adaptivním učením </w:t>
      </w:r>
      <w:r w:rsidRPr="0024528D">
        <w:rPr>
          <w:i/>
        </w:rPr>
        <w:t>[Consequences of Low Convergence Speed of the Mean D</w:t>
      </w:r>
      <w:r w:rsidRPr="0024528D">
        <w:rPr>
          <w:i/>
          <w:lang w:val="cs-CZ"/>
        </w:rPr>
        <w:t>ynamics in Adaptive Learning Models</w:t>
      </w:r>
      <w:r w:rsidRPr="0024528D">
        <w:rPr>
          <w:i/>
        </w:rPr>
        <w:t>]</w:t>
      </w:r>
      <w:r>
        <w:t>. Obdob</w:t>
      </w:r>
      <w:r>
        <w:rPr>
          <w:lang w:val="cs-CZ"/>
        </w:rPr>
        <w:t xml:space="preserve">í řešení projektu: </w:t>
      </w:r>
      <w:r w:rsidR="00F873EA">
        <w:rPr>
          <w:lang w:val="cs-CZ"/>
        </w:rPr>
        <w:t>2014-2016</w:t>
      </w:r>
      <w:r>
        <w:rPr>
          <w:lang w:val="cs-CZ"/>
        </w:rPr>
        <w:t>.</w:t>
      </w:r>
    </w:p>
    <w:p w:rsidR="008F5242" w:rsidRDefault="002C5B5A" w:rsidP="00794767">
      <w:pPr>
        <w:numPr>
          <w:ilvl w:val="0"/>
          <w:numId w:val="19"/>
        </w:numPr>
        <w:spacing w:line="360" w:lineRule="atLeast"/>
        <w:rPr>
          <w:lang w:val="en-GB"/>
        </w:rPr>
      </w:pPr>
      <w:r>
        <w:rPr>
          <w:lang w:val="en-GB"/>
        </w:rPr>
        <w:t>Projekt Grantové agentur</w:t>
      </w:r>
      <w:r>
        <w:rPr>
          <w:lang w:val="cs-CZ"/>
        </w:rPr>
        <w:t>y</w:t>
      </w:r>
      <w:r w:rsidR="009E0663">
        <w:rPr>
          <w:lang w:val="en-GB"/>
        </w:rPr>
        <w:t xml:space="preserve"> České republiky </w:t>
      </w:r>
      <w:r w:rsidR="00FC0179" w:rsidRPr="00FC0179">
        <w:rPr>
          <w:lang w:val="en-GB"/>
        </w:rPr>
        <w:t xml:space="preserve">P402/11/J018 </w:t>
      </w:r>
      <w:r w:rsidR="00DA0E22">
        <w:rPr>
          <w:lang w:val="en-GB"/>
        </w:rPr>
        <w:t xml:space="preserve">- </w:t>
      </w:r>
      <w:r w:rsidR="00FC0179" w:rsidRPr="00DA0E22">
        <w:rPr>
          <w:i/>
          <w:lang w:val="en-GB"/>
        </w:rPr>
        <w:t>Komparativní přístup k makroekonomickému modelování a analýze politiky: uvedení procesu adaptivního učení [Comparative Approach to Macroeconomic Modeling and Policy Analysis: Introducing Adaptive Learning].</w:t>
      </w:r>
      <w:r w:rsidR="00FC0179" w:rsidRPr="00FC0179">
        <w:rPr>
          <w:lang w:val="en-GB"/>
        </w:rPr>
        <w:t xml:space="preserve"> Období řešení projektu: </w:t>
      </w:r>
    </w:p>
    <w:p w:rsidR="00FC0179" w:rsidRPr="00FC0179" w:rsidRDefault="00FC0179" w:rsidP="008F5242">
      <w:pPr>
        <w:spacing w:before="0" w:line="360" w:lineRule="atLeast"/>
        <w:ind w:left="706"/>
        <w:rPr>
          <w:lang w:val="en-GB"/>
        </w:rPr>
      </w:pPr>
      <w:r w:rsidRPr="00FC0179">
        <w:rPr>
          <w:lang w:val="en-GB"/>
        </w:rPr>
        <w:t>2011-2013.</w:t>
      </w:r>
    </w:p>
    <w:p w:rsidR="00FC0179" w:rsidRPr="008F4253" w:rsidRDefault="002C5B5A" w:rsidP="00794767">
      <w:pPr>
        <w:numPr>
          <w:ilvl w:val="0"/>
          <w:numId w:val="19"/>
        </w:numPr>
        <w:spacing w:line="360" w:lineRule="atLeast"/>
        <w:rPr>
          <w:lang w:val="en-GB"/>
        </w:rPr>
      </w:pPr>
      <w:r w:rsidRPr="008F4253">
        <w:rPr>
          <w:lang w:val="en-GB"/>
        </w:rPr>
        <w:t>Projekt Grantové agentur</w:t>
      </w:r>
      <w:r w:rsidRPr="008F4253">
        <w:rPr>
          <w:lang w:val="cs-CZ"/>
        </w:rPr>
        <w:t>y</w:t>
      </w:r>
      <w:r w:rsidRPr="008F4253">
        <w:rPr>
          <w:lang w:val="en-GB"/>
        </w:rPr>
        <w:t xml:space="preserve"> Akademie věd ČR </w:t>
      </w:r>
      <w:r w:rsidRPr="008F4253">
        <w:t>IAA700850902</w:t>
      </w:r>
      <w:r w:rsidRPr="008F4253">
        <w:rPr>
          <w:lang w:val="en-GB"/>
        </w:rPr>
        <w:t xml:space="preserve"> </w:t>
      </w:r>
      <w:r w:rsidR="00376C33" w:rsidRPr="008F4253">
        <w:rPr>
          <w:lang w:val="en-GB"/>
        </w:rPr>
        <w:t xml:space="preserve">- </w:t>
      </w:r>
      <w:r w:rsidR="00FC0179" w:rsidRPr="008F4253">
        <w:rPr>
          <w:i/>
          <w:lang w:val="en-GB"/>
        </w:rPr>
        <w:t>Optimal Human Capital Structure in Two Sector Model with Multiple Types of Human Capital: Generality vs. Specificity</w:t>
      </w:r>
      <w:r w:rsidRPr="008F4253">
        <w:rPr>
          <w:lang w:val="en-GB"/>
        </w:rPr>
        <w:t xml:space="preserve">. Období řešení projektu: </w:t>
      </w:r>
      <w:r w:rsidR="00FC0179" w:rsidRPr="008F4253">
        <w:rPr>
          <w:lang w:val="en-GB"/>
        </w:rPr>
        <w:t>2009-2011.</w:t>
      </w:r>
    </w:p>
    <w:p w:rsidR="00034848" w:rsidRPr="008F4253" w:rsidRDefault="00FC0179" w:rsidP="00CD1276">
      <w:pPr>
        <w:numPr>
          <w:ilvl w:val="0"/>
          <w:numId w:val="19"/>
        </w:numPr>
        <w:spacing w:line="360" w:lineRule="atLeast"/>
        <w:rPr>
          <w:lang w:val="en-GB"/>
        </w:rPr>
      </w:pPr>
      <w:r w:rsidRPr="008F4253">
        <w:rPr>
          <w:lang w:val="en-GB"/>
        </w:rPr>
        <w:t xml:space="preserve">Global Development Network Regional </w:t>
      </w:r>
      <w:r w:rsidR="0006200C">
        <w:rPr>
          <w:lang w:val="en-GB"/>
        </w:rPr>
        <w:t>Research Competition (GDN</w:t>
      </w:r>
      <w:r w:rsidR="00CD1276">
        <w:rPr>
          <w:lang w:val="en-GB"/>
        </w:rPr>
        <w:t>)</w:t>
      </w:r>
      <w:r w:rsidR="0006200C">
        <w:rPr>
          <w:lang w:val="en-GB"/>
        </w:rPr>
        <w:t xml:space="preserve"> RRC</w:t>
      </w:r>
      <w:r w:rsidR="00CD1276">
        <w:rPr>
          <w:lang w:val="en-GB"/>
        </w:rPr>
        <w:t xml:space="preserve"> </w:t>
      </w:r>
      <w:r w:rsidR="00CD1276" w:rsidRPr="00CD1276">
        <w:rPr>
          <w:lang w:val="en-GB"/>
        </w:rPr>
        <w:t>IV-101</w:t>
      </w:r>
      <w:r w:rsidR="0006200C">
        <w:rPr>
          <w:lang w:val="en-GB"/>
        </w:rPr>
        <w:t xml:space="preserve"> - </w:t>
      </w:r>
      <w:r w:rsidRPr="0006200C">
        <w:rPr>
          <w:i/>
          <w:lang w:val="en-GB"/>
        </w:rPr>
        <w:t xml:space="preserve">Linking Educational and Pensions in </w:t>
      </w:r>
      <w:r w:rsidR="0006200C" w:rsidRPr="0006200C">
        <w:rPr>
          <w:i/>
          <w:lang w:val="en-GB"/>
        </w:rPr>
        <w:t>Transition: A Comparative Study</w:t>
      </w:r>
      <w:r w:rsidR="007A6E3B">
        <w:rPr>
          <w:lang w:val="en-GB"/>
        </w:rPr>
        <w:t xml:space="preserve">. Období řešení projektu: </w:t>
      </w:r>
      <w:r w:rsidR="00376C33" w:rsidRPr="008F4253">
        <w:rPr>
          <w:lang w:val="en-GB"/>
        </w:rPr>
        <w:t>200</w:t>
      </w:r>
      <w:r w:rsidR="00E37029">
        <w:rPr>
          <w:lang w:val="en-GB"/>
        </w:rPr>
        <w:t>4</w:t>
      </w:r>
      <w:r w:rsidR="00376C33" w:rsidRPr="008F4253">
        <w:rPr>
          <w:lang w:val="en-GB"/>
        </w:rPr>
        <w:t>-20</w:t>
      </w:r>
      <w:r w:rsidR="00E37029">
        <w:rPr>
          <w:lang w:val="en-GB"/>
        </w:rPr>
        <w:t>05</w:t>
      </w:r>
      <w:r w:rsidR="00376C33" w:rsidRPr="008F4253">
        <w:rPr>
          <w:lang w:val="en-GB"/>
        </w:rPr>
        <w:t xml:space="preserve">. </w:t>
      </w:r>
    </w:p>
    <w:p w:rsidR="00034848" w:rsidRPr="00091D01" w:rsidRDefault="00034848" w:rsidP="003433BA">
      <w:pPr>
        <w:spacing w:line="360" w:lineRule="atLeast"/>
        <w:rPr>
          <w:lang w:val="en-GB"/>
        </w:rPr>
      </w:pPr>
    </w:p>
    <w:p w:rsidR="00CB4493" w:rsidRDefault="00CB4493">
      <w:pPr>
        <w:autoSpaceDE/>
        <w:autoSpaceDN/>
        <w:spacing w:before="0"/>
        <w:rPr>
          <w:b/>
          <w:lang w:val="cs-CZ"/>
        </w:rPr>
      </w:pPr>
      <w:r>
        <w:rPr>
          <w:b/>
          <w:lang w:val="cs-CZ"/>
        </w:rPr>
        <w:br w:type="page"/>
      </w:r>
    </w:p>
    <w:p w:rsidR="00D161A0" w:rsidRPr="00A83846" w:rsidRDefault="00F01FDB" w:rsidP="00A83846">
      <w:pPr>
        <w:spacing w:line="360" w:lineRule="atLeast"/>
        <w:jc w:val="center"/>
        <w:rPr>
          <w:lang w:val="en-GB"/>
        </w:rPr>
      </w:pPr>
      <w:r>
        <w:rPr>
          <w:b/>
          <w:lang w:val="cs-CZ"/>
        </w:rPr>
        <w:lastRenderedPageBreak/>
        <w:t xml:space="preserve">Bibliometrická analýza (datum </w:t>
      </w:r>
      <w:r w:rsidR="003255B3">
        <w:rPr>
          <w:b/>
          <w:lang w:val="cs-CZ"/>
        </w:rPr>
        <w:t>7. 1. 2019</w:t>
      </w:r>
      <w:r w:rsidR="00D161A0">
        <w:rPr>
          <w:b/>
          <w:lang w:val="cs-CZ"/>
        </w:rPr>
        <w:t>)</w:t>
      </w:r>
    </w:p>
    <w:p w:rsidR="00D161A0" w:rsidRDefault="00D161A0" w:rsidP="00D161A0">
      <w:pPr>
        <w:spacing w:before="120"/>
        <w:rPr>
          <w:lang w:val="cs-CZ"/>
        </w:rPr>
      </w:pPr>
    </w:p>
    <w:p w:rsidR="00D161A0" w:rsidRDefault="00D161A0" w:rsidP="00D161A0">
      <w:pPr>
        <w:spacing w:before="120"/>
        <w:rPr>
          <w:b/>
          <w:lang w:val="cs-CZ"/>
        </w:rPr>
      </w:pPr>
      <w:r>
        <w:rPr>
          <w:b/>
          <w:lang w:val="cs-CZ"/>
        </w:rPr>
        <w:t>Web of Science</w:t>
      </w:r>
    </w:p>
    <w:p w:rsidR="00D161A0" w:rsidRDefault="00D161A0" w:rsidP="00D161A0">
      <w:pPr>
        <w:spacing w:before="120"/>
        <w:rPr>
          <w:b/>
          <w:lang w:val="cs-CZ"/>
        </w:rPr>
      </w:pPr>
      <w:r>
        <w:rPr>
          <w:lang w:val="cs-CZ"/>
        </w:rPr>
        <w:t xml:space="preserve">Počet nalezených prací: </w:t>
      </w:r>
      <w:r w:rsidR="001C4372" w:rsidRPr="001C4372">
        <w:rPr>
          <w:b/>
          <w:lang w:val="cs-CZ"/>
        </w:rPr>
        <w:t>1</w:t>
      </w:r>
      <w:r w:rsidR="00910EC5">
        <w:rPr>
          <w:b/>
          <w:lang w:val="cs-CZ"/>
        </w:rPr>
        <w:t>6</w:t>
      </w:r>
      <w:r>
        <w:rPr>
          <w:lang w:val="cs-CZ"/>
        </w:rPr>
        <w:tab/>
      </w:r>
    </w:p>
    <w:p w:rsidR="00B33BE3" w:rsidRDefault="00B33BE3" w:rsidP="00D161A0">
      <w:pPr>
        <w:spacing w:before="120"/>
        <w:rPr>
          <w:lang w:val="cs-CZ"/>
        </w:rPr>
      </w:pPr>
      <w:r>
        <w:rPr>
          <w:lang w:val="cs-CZ"/>
        </w:rPr>
        <w:t xml:space="preserve">Počet citovaných prací: </w:t>
      </w:r>
      <w:r w:rsidRPr="00B33BE3">
        <w:rPr>
          <w:b/>
          <w:lang w:val="cs-CZ"/>
        </w:rPr>
        <w:t>11</w:t>
      </w:r>
    </w:p>
    <w:p w:rsidR="00D161A0" w:rsidRDefault="00D161A0" w:rsidP="00D161A0">
      <w:pPr>
        <w:spacing w:before="120"/>
        <w:rPr>
          <w:lang w:val="cs-CZ"/>
        </w:rPr>
      </w:pPr>
      <w:r>
        <w:rPr>
          <w:lang w:val="cs-CZ"/>
        </w:rPr>
        <w:t xml:space="preserve">Počet citací: </w:t>
      </w:r>
      <w:r w:rsidR="00910EC5">
        <w:rPr>
          <w:b/>
          <w:lang w:val="cs-CZ"/>
        </w:rPr>
        <w:t>108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</w:p>
    <w:p w:rsidR="005B45BD" w:rsidRDefault="00D161A0" w:rsidP="00D161A0">
      <w:pPr>
        <w:spacing w:before="120"/>
        <w:rPr>
          <w:b/>
          <w:lang w:val="cs-CZ"/>
        </w:rPr>
      </w:pPr>
      <w:r>
        <w:rPr>
          <w:lang w:val="cs-CZ"/>
        </w:rPr>
        <w:t xml:space="preserve">Počet citací bez sebecitací: </w:t>
      </w:r>
      <w:r w:rsidR="00910EC5">
        <w:rPr>
          <w:b/>
          <w:lang w:val="cs-CZ"/>
        </w:rPr>
        <w:t>105</w:t>
      </w:r>
    </w:p>
    <w:p w:rsidR="00D161A0" w:rsidRDefault="005B45BD" w:rsidP="00D161A0">
      <w:pPr>
        <w:spacing w:before="120"/>
        <w:rPr>
          <w:lang w:val="cs-CZ"/>
        </w:rPr>
      </w:pPr>
      <w:r w:rsidRPr="005B45BD">
        <w:rPr>
          <w:lang w:val="cs-CZ"/>
        </w:rPr>
        <w:t>Počet citací bez autocitací za posl. 5 let</w:t>
      </w:r>
      <w:r>
        <w:rPr>
          <w:lang w:val="cs-CZ"/>
        </w:rPr>
        <w:t xml:space="preserve">: </w:t>
      </w:r>
      <w:r w:rsidR="00077414" w:rsidRPr="001B39EF">
        <w:rPr>
          <w:b/>
          <w:lang w:val="cs-CZ"/>
        </w:rPr>
        <w:t>51</w:t>
      </w:r>
      <w:r w:rsidR="00D161A0">
        <w:rPr>
          <w:lang w:val="cs-CZ"/>
        </w:rPr>
        <w:tab/>
      </w:r>
    </w:p>
    <w:p w:rsidR="00D161A0" w:rsidRDefault="00D161A0" w:rsidP="00D161A0">
      <w:pPr>
        <w:spacing w:before="120"/>
        <w:rPr>
          <w:lang w:val="cs-CZ"/>
        </w:rPr>
      </w:pPr>
      <w:r>
        <w:rPr>
          <w:lang w:val="cs-CZ"/>
        </w:rPr>
        <w:t xml:space="preserve">H-index: </w:t>
      </w:r>
      <w:r w:rsidR="001C4372" w:rsidRPr="001C4372">
        <w:rPr>
          <w:b/>
          <w:lang w:val="cs-CZ"/>
        </w:rPr>
        <w:t>6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</w:p>
    <w:p w:rsidR="00D161A0" w:rsidRDefault="00D161A0" w:rsidP="00D161A0">
      <w:pPr>
        <w:spacing w:before="120"/>
        <w:rPr>
          <w:lang w:val="cs-CZ"/>
        </w:rPr>
      </w:pPr>
    </w:p>
    <w:p w:rsidR="00D161A0" w:rsidRDefault="00D161A0" w:rsidP="00D161A0">
      <w:pPr>
        <w:spacing w:before="120"/>
        <w:rPr>
          <w:b/>
          <w:lang w:val="cs-CZ"/>
        </w:rPr>
      </w:pPr>
      <w:r>
        <w:rPr>
          <w:b/>
          <w:lang w:val="cs-CZ"/>
        </w:rPr>
        <w:t>Scopus</w:t>
      </w:r>
    </w:p>
    <w:p w:rsidR="00D161A0" w:rsidRDefault="00D161A0" w:rsidP="00D161A0">
      <w:pPr>
        <w:spacing w:before="120"/>
        <w:rPr>
          <w:lang w:val="cs-CZ"/>
        </w:rPr>
      </w:pPr>
      <w:r>
        <w:rPr>
          <w:lang w:val="cs-CZ"/>
        </w:rPr>
        <w:t xml:space="preserve">Počet nalezených prací: </w:t>
      </w:r>
      <w:r w:rsidR="004075C3" w:rsidRPr="004075C3">
        <w:rPr>
          <w:b/>
          <w:lang w:val="cs-CZ"/>
        </w:rPr>
        <w:t>10</w:t>
      </w:r>
      <w:r>
        <w:rPr>
          <w:lang w:val="cs-CZ"/>
        </w:rPr>
        <w:tab/>
      </w:r>
      <w:r>
        <w:rPr>
          <w:lang w:val="cs-CZ"/>
        </w:rPr>
        <w:tab/>
      </w:r>
    </w:p>
    <w:p w:rsidR="00B33BE3" w:rsidRDefault="00B33BE3" w:rsidP="00D161A0">
      <w:pPr>
        <w:spacing w:before="120"/>
        <w:rPr>
          <w:lang w:val="cs-CZ"/>
        </w:rPr>
      </w:pPr>
      <w:r>
        <w:rPr>
          <w:lang w:val="cs-CZ"/>
        </w:rPr>
        <w:t xml:space="preserve">Počet citovaných prací:   </w:t>
      </w:r>
      <w:r w:rsidRPr="00B33BE3">
        <w:rPr>
          <w:b/>
          <w:lang w:val="cs-CZ"/>
        </w:rPr>
        <w:t>8</w:t>
      </w:r>
    </w:p>
    <w:p w:rsidR="00D161A0" w:rsidRDefault="00D161A0" w:rsidP="00D161A0">
      <w:pPr>
        <w:spacing w:before="120"/>
        <w:rPr>
          <w:lang w:val="cs-CZ"/>
        </w:rPr>
      </w:pPr>
      <w:r>
        <w:rPr>
          <w:lang w:val="cs-CZ"/>
        </w:rPr>
        <w:t xml:space="preserve">Počet citací: </w:t>
      </w:r>
      <w:r w:rsidR="006C736E">
        <w:rPr>
          <w:b/>
          <w:lang w:val="cs-CZ"/>
        </w:rPr>
        <w:t>92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</w:p>
    <w:p w:rsidR="008601F9" w:rsidRDefault="00D161A0" w:rsidP="00D161A0">
      <w:pPr>
        <w:spacing w:before="120"/>
        <w:rPr>
          <w:b/>
          <w:lang w:val="cs-CZ"/>
        </w:rPr>
      </w:pPr>
      <w:r>
        <w:rPr>
          <w:lang w:val="cs-CZ"/>
        </w:rPr>
        <w:t xml:space="preserve">Počet citací bez sebecitací: </w:t>
      </w:r>
      <w:r w:rsidR="006C736E" w:rsidRPr="00832070">
        <w:rPr>
          <w:b/>
          <w:lang w:val="cs-CZ"/>
        </w:rPr>
        <w:t>89</w:t>
      </w:r>
    </w:p>
    <w:p w:rsidR="00D161A0" w:rsidRDefault="008601F9" w:rsidP="00D161A0">
      <w:pPr>
        <w:spacing w:before="120"/>
        <w:rPr>
          <w:lang w:val="cs-CZ"/>
        </w:rPr>
      </w:pPr>
      <w:r w:rsidRPr="008601F9">
        <w:rPr>
          <w:lang w:val="cs-CZ"/>
        </w:rPr>
        <w:t>Počet citací bez autocitací za posl. 5 let</w:t>
      </w:r>
      <w:r>
        <w:rPr>
          <w:lang w:val="cs-CZ"/>
        </w:rPr>
        <w:t xml:space="preserve">: </w:t>
      </w:r>
      <w:r w:rsidR="003C736A" w:rsidRPr="00B33BE3">
        <w:rPr>
          <w:b/>
          <w:lang w:val="cs-CZ"/>
        </w:rPr>
        <w:t>59</w:t>
      </w:r>
      <w:r w:rsidR="00D161A0">
        <w:rPr>
          <w:lang w:val="cs-CZ"/>
        </w:rPr>
        <w:tab/>
      </w:r>
    </w:p>
    <w:p w:rsidR="00D161A0" w:rsidRDefault="00D161A0" w:rsidP="00D161A0">
      <w:pPr>
        <w:spacing w:before="120"/>
        <w:rPr>
          <w:b/>
          <w:lang w:val="cs-CZ"/>
        </w:rPr>
      </w:pPr>
      <w:r>
        <w:rPr>
          <w:lang w:val="cs-CZ"/>
        </w:rPr>
        <w:t xml:space="preserve">H-index: </w:t>
      </w:r>
      <w:r w:rsidR="004075C3" w:rsidRPr="004075C3">
        <w:rPr>
          <w:b/>
          <w:lang w:val="cs-CZ"/>
        </w:rPr>
        <w:t>5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</w:p>
    <w:p w:rsidR="00D161A0" w:rsidRDefault="00D161A0" w:rsidP="00D161A0">
      <w:pPr>
        <w:spacing w:before="120"/>
        <w:rPr>
          <w:lang w:val="cs-CZ"/>
        </w:rPr>
      </w:pP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</w:p>
    <w:p w:rsidR="00D161A0" w:rsidRDefault="00D161A0" w:rsidP="003433BA">
      <w:pPr>
        <w:spacing w:line="360" w:lineRule="atLeast"/>
        <w:rPr>
          <w:lang w:val="en-GB"/>
        </w:rPr>
      </w:pPr>
    </w:p>
    <w:p w:rsidR="00D161A0" w:rsidRPr="00091D01" w:rsidRDefault="00D161A0" w:rsidP="003433BA">
      <w:pPr>
        <w:spacing w:line="360" w:lineRule="atLeast"/>
        <w:rPr>
          <w:lang w:val="en-GB"/>
        </w:rPr>
      </w:pPr>
    </w:p>
    <w:p w:rsidR="00F347AB" w:rsidRDefault="00F347AB" w:rsidP="003433BA"/>
    <w:p w:rsidR="00F347AB" w:rsidRDefault="00F347AB" w:rsidP="003433BA"/>
    <w:p w:rsidR="00F347AB" w:rsidRDefault="00F347AB" w:rsidP="003433BA"/>
    <w:p w:rsidR="00034848" w:rsidRPr="00091D01" w:rsidRDefault="00034848" w:rsidP="003433BA">
      <w:r w:rsidRPr="00091D01">
        <w:t xml:space="preserve">Prague, </w:t>
      </w:r>
      <w:r w:rsidR="00547E66">
        <w:t xml:space="preserve"> </w:t>
      </w:r>
      <w:r w:rsidR="0004460C">
        <w:t>…….</w:t>
      </w:r>
      <w:r w:rsidR="002822A3">
        <w:t>……. ..</w:t>
      </w:r>
      <w:r w:rsidRPr="00091D01">
        <w:t>, 201</w:t>
      </w:r>
      <w:r w:rsidR="003A45C9">
        <w:t>9</w:t>
      </w:r>
      <w:r w:rsidRPr="00091D01">
        <w:tab/>
      </w:r>
      <w:r w:rsidRPr="00091D01">
        <w:tab/>
      </w:r>
      <w:r w:rsidRPr="00091D01">
        <w:tab/>
      </w:r>
      <w:r w:rsidRPr="00091D01">
        <w:tab/>
      </w:r>
      <w:r w:rsidRPr="00091D01">
        <w:tab/>
        <w:t>...............................................</w:t>
      </w:r>
    </w:p>
    <w:p w:rsidR="00034848" w:rsidRPr="00E13891" w:rsidRDefault="007A6E3B" w:rsidP="003433B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547E66">
        <w:t>Sergey Slobodyan</w:t>
      </w:r>
      <w:r w:rsidR="00034848" w:rsidRPr="00091D01">
        <w:rPr>
          <w:lang w:val="cs-CZ"/>
        </w:rPr>
        <w:t>, Ph.D.</w:t>
      </w:r>
    </w:p>
    <w:sectPr w:rsidR="00034848" w:rsidRPr="00E13891" w:rsidSect="00B35011">
      <w:footerReference w:type="default" r:id="rId35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51CA" w:rsidRDefault="005451CA" w:rsidP="00110403">
      <w:r>
        <w:separator/>
      </w:r>
    </w:p>
  </w:endnote>
  <w:endnote w:type="continuationSeparator" w:id="0">
    <w:p w:rsidR="005451CA" w:rsidRDefault="005451CA" w:rsidP="00110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98B" w:rsidRDefault="00C0698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E1221">
      <w:rPr>
        <w:noProof/>
      </w:rPr>
      <w:t>11</w:t>
    </w:r>
    <w:r>
      <w:rPr>
        <w:noProof/>
      </w:rPr>
      <w:fldChar w:fldCharType="end"/>
    </w:r>
  </w:p>
  <w:p w:rsidR="00C0698B" w:rsidRDefault="00C069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51CA" w:rsidRDefault="005451CA" w:rsidP="00110403">
      <w:r>
        <w:separator/>
      </w:r>
    </w:p>
  </w:footnote>
  <w:footnote w:type="continuationSeparator" w:id="0">
    <w:p w:rsidR="005451CA" w:rsidRDefault="005451CA" w:rsidP="001104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62A86"/>
    <w:multiLevelType w:val="hybridMultilevel"/>
    <w:tmpl w:val="34FE60B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9BD5BB2"/>
    <w:multiLevelType w:val="hybridMultilevel"/>
    <w:tmpl w:val="02666400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FC401B0"/>
    <w:multiLevelType w:val="hybridMultilevel"/>
    <w:tmpl w:val="7EFE48A6"/>
    <w:lvl w:ilvl="0" w:tplc="703A0582">
      <w:start w:val="1"/>
      <w:numFmt w:val="decimal"/>
      <w:lvlText w:val="[%1]"/>
      <w:lvlJc w:val="left"/>
      <w:pPr>
        <w:tabs>
          <w:tab w:val="num" w:pos="811"/>
        </w:tabs>
        <w:ind w:left="811" w:hanging="72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7221E8"/>
    <w:multiLevelType w:val="hybridMultilevel"/>
    <w:tmpl w:val="14B0FD1C"/>
    <w:lvl w:ilvl="0" w:tplc="29AE6940">
      <w:start w:val="1"/>
      <w:numFmt w:val="decimal"/>
      <w:lvlText w:val="[%1]"/>
      <w:lvlJc w:val="left"/>
      <w:pPr>
        <w:tabs>
          <w:tab w:val="num" w:pos="811"/>
        </w:tabs>
        <w:ind w:left="811" w:hanging="72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F57A8E"/>
    <w:multiLevelType w:val="hybridMultilevel"/>
    <w:tmpl w:val="E8943A88"/>
    <w:lvl w:ilvl="0" w:tplc="E9A4FA6C">
      <w:start w:val="1"/>
      <w:numFmt w:val="decimal"/>
      <w:lvlText w:val="[%1]"/>
      <w:lvlJc w:val="left"/>
      <w:pPr>
        <w:tabs>
          <w:tab w:val="num" w:pos="811"/>
        </w:tabs>
        <w:ind w:left="811" w:hanging="72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960A6F"/>
    <w:multiLevelType w:val="hybridMultilevel"/>
    <w:tmpl w:val="A322EEBC"/>
    <w:lvl w:ilvl="0" w:tplc="434C22E2">
      <w:start w:val="2"/>
      <w:numFmt w:val="decimal"/>
      <w:pStyle w:val="A-Citace-1cislovani"/>
      <w:lvlText w:val="[%1]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2A50954A">
      <w:start w:val="5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6722CC"/>
    <w:multiLevelType w:val="hybridMultilevel"/>
    <w:tmpl w:val="45B225B6"/>
    <w:lvl w:ilvl="0" w:tplc="8C74B04E">
      <w:start w:val="1"/>
      <w:numFmt w:val="decimal"/>
      <w:lvlText w:val="[%1]"/>
      <w:lvlJc w:val="left"/>
      <w:pPr>
        <w:ind w:left="788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598" w:hanging="360"/>
      </w:pPr>
    </w:lvl>
    <w:lvl w:ilvl="2" w:tplc="0409001B" w:tentative="1">
      <w:start w:val="1"/>
      <w:numFmt w:val="lowerRoman"/>
      <w:lvlText w:val="%3."/>
      <w:lvlJc w:val="right"/>
      <w:pPr>
        <w:ind w:left="2318" w:hanging="180"/>
      </w:pPr>
    </w:lvl>
    <w:lvl w:ilvl="3" w:tplc="0409000F" w:tentative="1">
      <w:start w:val="1"/>
      <w:numFmt w:val="decimal"/>
      <w:lvlText w:val="%4."/>
      <w:lvlJc w:val="left"/>
      <w:pPr>
        <w:ind w:left="3038" w:hanging="360"/>
      </w:pPr>
    </w:lvl>
    <w:lvl w:ilvl="4" w:tplc="04090019" w:tentative="1">
      <w:start w:val="1"/>
      <w:numFmt w:val="lowerLetter"/>
      <w:lvlText w:val="%5."/>
      <w:lvlJc w:val="left"/>
      <w:pPr>
        <w:ind w:left="3758" w:hanging="360"/>
      </w:pPr>
    </w:lvl>
    <w:lvl w:ilvl="5" w:tplc="0409001B" w:tentative="1">
      <w:start w:val="1"/>
      <w:numFmt w:val="lowerRoman"/>
      <w:lvlText w:val="%6."/>
      <w:lvlJc w:val="right"/>
      <w:pPr>
        <w:ind w:left="4478" w:hanging="180"/>
      </w:pPr>
    </w:lvl>
    <w:lvl w:ilvl="6" w:tplc="0409000F" w:tentative="1">
      <w:start w:val="1"/>
      <w:numFmt w:val="decimal"/>
      <w:lvlText w:val="%7."/>
      <w:lvlJc w:val="left"/>
      <w:pPr>
        <w:ind w:left="5198" w:hanging="360"/>
      </w:pPr>
    </w:lvl>
    <w:lvl w:ilvl="7" w:tplc="04090019" w:tentative="1">
      <w:start w:val="1"/>
      <w:numFmt w:val="lowerLetter"/>
      <w:lvlText w:val="%8."/>
      <w:lvlJc w:val="left"/>
      <w:pPr>
        <w:ind w:left="5918" w:hanging="360"/>
      </w:pPr>
    </w:lvl>
    <w:lvl w:ilvl="8" w:tplc="0409001B" w:tentative="1">
      <w:start w:val="1"/>
      <w:numFmt w:val="lowerRoman"/>
      <w:lvlText w:val="%9."/>
      <w:lvlJc w:val="right"/>
      <w:pPr>
        <w:ind w:left="6638" w:hanging="180"/>
      </w:pPr>
    </w:lvl>
  </w:abstractNum>
  <w:abstractNum w:abstractNumId="7" w15:restartNumberingAfterBreak="0">
    <w:nsid w:val="371B5111"/>
    <w:multiLevelType w:val="hybridMultilevel"/>
    <w:tmpl w:val="9DAEAE2A"/>
    <w:lvl w:ilvl="0" w:tplc="3F564A86">
      <w:start w:val="1"/>
      <w:numFmt w:val="decimal"/>
      <w:lvlText w:val="[%1]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349" w:hanging="360"/>
      </w:pPr>
    </w:lvl>
    <w:lvl w:ilvl="2" w:tplc="0405001B" w:tentative="1">
      <w:start w:val="1"/>
      <w:numFmt w:val="lowerRoman"/>
      <w:lvlText w:val="%3."/>
      <w:lvlJc w:val="right"/>
      <w:pPr>
        <w:ind w:left="2069" w:hanging="180"/>
      </w:pPr>
    </w:lvl>
    <w:lvl w:ilvl="3" w:tplc="0405000F" w:tentative="1">
      <w:start w:val="1"/>
      <w:numFmt w:val="decimal"/>
      <w:lvlText w:val="%4."/>
      <w:lvlJc w:val="left"/>
      <w:pPr>
        <w:ind w:left="2789" w:hanging="360"/>
      </w:pPr>
    </w:lvl>
    <w:lvl w:ilvl="4" w:tplc="04050019" w:tentative="1">
      <w:start w:val="1"/>
      <w:numFmt w:val="lowerLetter"/>
      <w:lvlText w:val="%5."/>
      <w:lvlJc w:val="left"/>
      <w:pPr>
        <w:ind w:left="3509" w:hanging="360"/>
      </w:pPr>
    </w:lvl>
    <w:lvl w:ilvl="5" w:tplc="0405001B" w:tentative="1">
      <w:start w:val="1"/>
      <w:numFmt w:val="lowerRoman"/>
      <w:lvlText w:val="%6."/>
      <w:lvlJc w:val="right"/>
      <w:pPr>
        <w:ind w:left="4229" w:hanging="180"/>
      </w:pPr>
    </w:lvl>
    <w:lvl w:ilvl="6" w:tplc="0405000F" w:tentative="1">
      <w:start w:val="1"/>
      <w:numFmt w:val="decimal"/>
      <w:lvlText w:val="%7."/>
      <w:lvlJc w:val="left"/>
      <w:pPr>
        <w:ind w:left="4949" w:hanging="360"/>
      </w:pPr>
    </w:lvl>
    <w:lvl w:ilvl="7" w:tplc="04050019" w:tentative="1">
      <w:start w:val="1"/>
      <w:numFmt w:val="lowerLetter"/>
      <w:lvlText w:val="%8."/>
      <w:lvlJc w:val="left"/>
      <w:pPr>
        <w:ind w:left="5669" w:hanging="360"/>
      </w:pPr>
    </w:lvl>
    <w:lvl w:ilvl="8" w:tplc="0405001B" w:tentative="1">
      <w:start w:val="1"/>
      <w:numFmt w:val="lowerRoman"/>
      <w:lvlText w:val="%9."/>
      <w:lvlJc w:val="right"/>
      <w:pPr>
        <w:ind w:left="6389" w:hanging="180"/>
      </w:pPr>
    </w:lvl>
  </w:abstractNum>
  <w:abstractNum w:abstractNumId="8" w15:restartNumberingAfterBreak="0">
    <w:nsid w:val="3C4F5FE0"/>
    <w:multiLevelType w:val="hybridMultilevel"/>
    <w:tmpl w:val="132CCB82"/>
    <w:lvl w:ilvl="0" w:tplc="07C8D438">
      <w:start w:val="1"/>
      <w:numFmt w:val="decimal"/>
      <w:lvlText w:val="[%1]"/>
      <w:lvlJc w:val="left"/>
      <w:pPr>
        <w:tabs>
          <w:tab w:val="num" w:pos="811"/>
        </w:tabs>
        <w:ind w:left="811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E545AED"/>
    <w:multiLevelType w:val="hybridMultilevel"/>
    <w:tmpl w:val="FD16DD14"/>
    <w:lvl w:ilvl="0" w:tplc="77EC3B32">
      <w:start w:val="1"/>
      <w:numFmt w:val="decimal"/>
      <w:lvlText w:val="[%1]"/>
      <w:lvlJc w:val="left"/>
      <w:pPr>
        <w:tabs>
          <w:tab w:val="num" w:pos="811"/>
        </w:tabs>
        <w:ind w:left="811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466DDC"/>
    <w:multiLevelType w:val="hybridMultilevel"/>
    <w:tmpl w:val="1B56FB28"/>
    <w:lvl w:ilvl="0" w:tplc="B5B0BA9A">
      <w:start w:val="1"/>
      <w:numFmt w:val="decimal"/>
      <w:lvlText w:val="[%1]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19070DE"/>
    <w:multiLevelType w:val="hybridMultilevel"/>
    <w:tmpl w:val="9C90EE8A"/>
    <w:lvl w:ilvl="0" w:tplc="897C01B4">
      <w:start w:val="1"/>
      <w:numFmt w:val="decimal"/>
      <w:lvlText w:val="[%1]"/>
      <w:lvlJc w:val="left"/>
      <w:pPr>
        <w:tabs>
          <w:tab w:val="num" w:pos="811"/>
        </w:tabs>
        <w:ind w:left="811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951D28"/>
    <w:multiLevelType w:val="hybridMultilevel"/>
    <w:tmpl w:val="6CEAB972"/>
    <w:lvl w:ilvl="0" w:tplc="8C74B04E">
      <w:start w:val="1"/>
      <w:numFmt w:val="decimal"/>
      <w:lvlText w:val="[%1]"/>
      <w:lvlJc w:val="left"/>
      <w:pPr>
        <w:tabs>
          <w:tab w:val="num" w:pos="811"/>
        </w:tabs>
        <w:ind w:left="811" w:hanging="72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695052C"/>
    <w:multiLevelType w:val="hybridMultilevel"/>
    <w:tmpl w:val="136A2566"/>
    <w:lvl w:ilvl="0" w:tplc="B5B0BA9A">
      <w:start w:val="1"/>
      <w:numFmt w:val="decimal"/>
      <w:lvlText w:val="[%1]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29"/>
        </w:tabs>
        <w:ind w:left="1529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49"/>
        </w:tabs>
        <w:ind w:left="2249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69"/>
        </w:tabs>
        <w:ind w:left="2969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89"/>
        </w:tabs>
        <w:ind w:left="3689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09"/>
        </w:tabs>
        <w:ind w:left="4409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29"/>
        </w:tabs>
        <w:ind w:left="5129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49"/>
        </w:tabs>
        <w:ind w:left="5849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69"/>
        </w:tabs>
        <w:ind w:left="6569" w:hanging="180"/>
      </w:pPr>
    </w:lvl>
  </w:abstractNum>
  <w:abstractNum w:abstractNumId="14" w15:restartNumberingAfterBreak="0">
    <w:nsid w:val="4E8E6888"/>
    <w:multiLevelType w:val="hybridMultilevel"/>
    <w:tmpl w:val="A9C8EB04"/>
    <w:lvl w:ilvl="0" w:tplc="93E89668">
      <w:start w:val="1"/>
      <w:numFmt w:val="decimal"/>
      <w:lvlText w:val="[%1]"/>
      <w:lvlJc w:val="left"/>
      <w:pPr>
        <w:tabs>
          <w:tab w:val="num" w:pos="811"/>
        </w:tabs>
        <w:ind w:left="811" w:hanging="72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01A3CF1"/>
    <w:multiLevelType w:val="hybridMultilevel"/>
    <w:tmpl w:val="2E18ADBA"/>
    <w:lvl w:ilvl="0" w:tplc="8C74B04E">
      <w:start w:val="1"/>
      <w:numFmt w:val="decimal"/>
      <w:lvlText w:val="[%1]"/>
      <w:lvlJc w:val="left"/>
      <w:pPr>
        <w:ind w:left="709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29" w:hanging="360"/>
      </w:pPr>
    </w:lvl>
    <w:lvl w:ilvl="2" w:tplc="0409001B" w:tentative="1">
      <w:start w:val="1"/>
      <w:numFmt w:val="lowerRoman"/>
      <w:lvlText w:val="%3."/>
      <w:lvlJc w:val="right"/>
      <w:pPr>
        <w:ind w:left="2149" w:hanging="180"/>
      </w:pPr>
    </w:lvl>
    <w:lvl w:ilvl="3" w:tplc="0409000F" w:tentative="1">
      <w:start w:val="1"/>
      <w:numFmt w:val="decimal"/>
      <w:lvlText w:val="%4."/>
      <w:lvlJc w:val="left"/>
      <w:pPr>
        <w:ind w:left="2869" w:hanging="360"/>
      </w:pPr>
    </w:lvl>
    <w:lvl w:ilvl="4" w:tplc="04090019" w:tentative="1">
      <w:start w:val="1"/>
      <w:numFmt w:val="lowerLetter"/>
      <w:lvlText w:val="%5."/>
      <w:lvlJc w:val="left"/>
      <w:pPr>
        <w:ind w:left="3589" w:hanging="360"/>
      </w:pPr>
    </w:lvl>
    <w:lvl w:ilvl="5" w:tplc="0409001B" w:tentative="1">
      <w:start w:val="1"/>
      <w:numFmt w:val="lowerRoman"/>
      <w:lvlText w:val="%6."/>
      <w:lvlJc w:val="right"/>
      <w:pPr>
        <w:ind w:left="4309" w:hanging="180"/>
      </w:pPr>
    </w:lvl>
    <w:lvl w:ilvl="6" w:tplc="0409000F" w:tentative="1">
      <w:start w:val="1"/>
      <w:numFmt w:val="decimal"/>
      <w:lvlText w:val="%7."/>
      <w:lvlJc w:val="left"/>
      <w:pPr>
        <w:ind w:left="5029" w:hanging="360"/>
      </w:pPr>
    </w:lvl>
    <w:lvl w:ilvl="7" w:tplc="04090019" w:tentative="1">
      <w:start w:val="1"/>
      <w:numFmt w:val="lowerLetter"/>
      <w:lvlText w:val="%8."/>
      <w:lvlJc w:val="left"/>
      <w:pPr>
        <w:ind w:left="5749" w:hanging="360"/>
      </w:pPr>
    </w:lvl>
    <w:lvl w:ilvl="8" w:tplc="040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6" w15:restartNumberingAfterBreak="0">
    <w:nsid w:val="537E5D6D"/>
    <w:multiLevelType w:val="hybridMultilevel"/>
    <w:tmpl w:val="D0EA2A48"/>
    <w:lvl w:ilvl="0" w:tplc="E27670F0">
      <w:start w:val="1"/>
      <w:numFmt w:val="upperLetter"/>
      <w:pStyle w:val="A-head-2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92A6ED0"/>
    <w:multiLevelType w:val="hybridMultilevel"/>
    <w:tmpl w:val="E8943A88"/>
    <w:lvl w:ilvl="0" w:tplc="E9A4FA6C">
      <w:start w:val="1"/>
      <w:numFmt w:val="decimal"/>
      <w:lvlText w:val="[%1]"/>
      <w:lvlJc w:val="left"/>
      <w:pPr>
        <w:tabs>
          <w:tab w:val="num" w:pos="811"/>
        </w:tabs>
        <w:ind w:left="811" w:hanging="72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EC7290"/>
    <w:multiLevelType w:val="hybridMultilevel"/>
    <w:tmpl w:val="B63C969A"/>
    <w:lvl w:ilvl="0" w:tplc="3C1455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9843102"/>
    <w:multiLevelType w:val="hybridMultilevel"/>
    <w:tmpl w:val="97A05276"/>
    <w:lvl w:ilvl="0" w:tplc="93023F90">
      <w:start w:val="5"/>
      <w:numFmt w:val="decimal"/>
      <w:lvlText w:val="[%1]"/>
      <w:lvlJc w:val="left"/>
      <w:pPr>
        <w:tabs>
          <w:tab w:val="num" w:pos="811"/>
        </w:tabs>
        <w:ind w:left="811" w:hanging="720"/>
      </w:pPr>
      <w:rPr>
        <w:rFonts w:hint="default"/>
        <w:b w:val="0"/>
        <w:b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8C61EE"/>
    <w:multiLevelType w:val="hybridMultilevel"/>
    <w:tmpl w:val="7F127816"/>
    <w:lvl w:ilvl="0" w:tplc="F5FC7A98">
      <w:start w:val="1"/>
      <w:numFmt w:val="decimal"/>
      <w:pStyle w:val="A-Citace-J-nove-cislovani"/>
      <w:lvlText w:val="[%1]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2"/>
  </w:num>
  <w:num w:numId="4">
    <w:abstractNumId w:val="10"/>
  </w:num>
  <w:num w:numId="5">
    <w:abstractNumId w:val="14"/>
  </w:num>
  <w:num w:numId="6">
    <w:abstractNumId w:val="5"/>
  </w:num>
  <w:num w:numId="7">
    <w:abstractNumId w:val="8"/>
  </w:num>
  <w:num w:numId="8">
    <w:abstractNumId w:val="11"/>
  </w:num>
  <w:num w:numId="9">
    <w:abstractNumId w:val="9"/>
  </w:num>
  <w:num w:numId="10">
    <w:abstractNumId w:val="20"/>
  </w:num>
  <w:num w:numId="11">
    <w:abstractNumId w:val="16"/>
  </w:num>
  <w:num w:numId="12">
    <w:abstractNumId w:val="7"/>
  </w:num>
  <w:num w:numId="13">
    <w:abstractNumId w:val="3"/>
  </w:num>
  <w:num w:numId="14">
    <w:abstractNumId w:val="19"/>
  </w:num>
  <w:num w:numId="15">
    <w:abstractNumId w:val="17"/>
  </w:num>
  <w:num w:numId="16">
    <w:abstractNumId w:val="4"/>
  </w:num>
  <w:num w:numId="17">
    <w:abstractNumId w:val="1"/>
  </w:num>
  <w:num w:numId="18">
    <w:abstractNumId w:val="6"/>
  </w:num>
  <w:num w:numId="19">
    <w:abstractNumId w:val="15"/>
  </w:num>
  <w:num w:numId="20">
    <w:abstractNumId w:val="0"/>
  </w:num>
  <w:num w:numId="21">
    <w:abstractNumId w:val="18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A35"/>
    <w:rsid w:val="00000493"/>
    <w:rsid w:val="00000821"/>
    <w:rsid w:val="00002834"/>
    <w:rsid w:val="00005426"/>
    <w:rsid w:val="0000702C"/>
    <w:rsid w:val="00007355"/>
    <w:rsid w:val="00007C2D"/>
    <w:rsid w:val="00010341"/>
    <w:rsid w:val="000137FB"/>
    <w:rsid w:val="00013871"/>
    <w:rsid w:val="000158F5"/>
    <w:rsid w:val="00020FE9"/>
    <w:rsid w:val="00023EE8"/>
    <w:rsid w:val="000271B4"/>
    <w:rsid w:val="000279E3"/>
    <w:rsid w:val="0003014C"/>
    <w:rsid w:val="00034255"/>
    <w:rsid w:val="00034848"/>
    <w:rsid w:val="00037B95"/>
    <w:rsid w:val="00040430"/>
    <w:rsid w:val="00040DD1"/>
    <w:rsid w:val="000435F8"/>
    <w:rsid w:val="00043E79"/>
    <w:rsid w:val="0004460C"/>
    <w:rsid w:val="0004744F"/>
    <w:rsid w:val="00050971"/>
    <w:rsid w:val="000557E9"/>
    <w:rsid w:val="00055E18"/>
    <w:rsid w:val="0006200C"/>
    <w:rsid w:val="00067766"/>
    <w:rsid w:val="000679AB"/>
    <w:rsid w:val="00070CB3"/>
    <w:rsid w:val="000719B1"/>
    <w:rsid w:val="00073325"/>
    <w:rsid w:val="000762B0"/>
    <w:rsid w:val="00076FBD"/>
    <w:rsid w:val="00077414"/>
    <w:rsid w:val="000836F6"/>
    <w:rsid w:val="00091D01"/>
    <w:rsid w:val="000A2654"/>
    <w:rsid w:val="000A4E7B"/>
    <w:rsid w:val="000A4F0D"/>
    <w:rsid w:val="000B217A"/>
    <w:rsid w:val="000B5397"/>
    <w:rsid w:val="000C5203"/>
    <w:rsid w:val="000C614B"/>
    <w:rsid w:val="000D2E1B"/>
    <w:rsid w:val="000D3F1C"/>
    <w:rsid w:val="000D4A63"/>
    <w:rsid w:val="000D538A"/>
    <w:rsid w:val="000D5D48"/>
    <w:rsid w:val="000D73BB"/>
    <w:rsid w:val="000E09EF"/>
    <w:rsid w:val="000E1A3D"/>
    <w:rsid w:val="000E3ECB"/>
    <w:rsid w:val="000E5FA7"/>
    <w:rsid w:val="000E712C"/>
    <w:rsid w:val="000E7794"/>
    <w:rsid w:val="000F4F0D"/>
    <w:rsid w:val="000F53C0"/>
    <w:rsid w:val="000F6386"/>
    <w:rsid w:val="000F6BEB"/>
    <w:rsid w:val="000F7FCE"/>
    <w:rsid w:val="00101BF7"/>
    <w:rsid w:val="00103A07"/>
    <w:rsid w:val="001041C8"/>
    <w:rsid w:val="00105CFD"/>
    <w:rsid w:val="00106821"/>
    <w:rsid w:val="00110403"/>
    <w:rsid w:val="001128EE"/>
    <w:rsid w:val="00114491"/>
    <w:rsid w:val="00115577"/>
    <w:rsid w:val="00116BE5"/>
    <w:rsid w:val="0011746F"/>
    <w:rsid w:val="00122976"/>
    <w:rsid w:val="00123B21"/>
    <w:rsid w:val="00123BB4"/>
    <w:rsid w:val="00132C1A"/>
    <w:rsid w:val="001340CF"/>
    <w:rsid w:val="001348A4"/>
    <w:rsid w:val="00137FF0"/>
    <w:rsid w:val="001405C2"/>
    <w:rsid w:val="001411A0"/>
    <w:rsid w:val="00143071"/>
    <w:rsid w:val="00143873"/>
    <w:rsid w:val="001446AA"/>
    <w:rsid w:val="001454A5"/>
    <w:rsid w:val="001456C7"/>
    <w:rsid w:val="00151703"/>
    <w:rsid w:val="0015428C"/>
    <w:rsid w:val="00156D4E"/>
    <w:rsid w:val="00157B4B"/>
    <w:rsid w:val="00163182"/>
    <w:rsid w:val="00164870"/>
    <w:rsid w:val="0016539B"/>
    <w:rsid w:val="00177C2D"/>
    <w:rsid w:val="00177F14"/>
    <w:rsid w:val="0018022A"/>
    <w:rsid w:val="001836C1"/>
    <w:rsid w:val="00185349"/>
    <w:rsid w:val="00185C96"/>
    <w:rsid w:val="001866B6"/>
    <w:rsid w:val="0019024C"/>
    <w:rsid w:val="00190DD6"/>
    <w:rsid w:val="00191B64"/>
    <w:rsid w:val="00193685"/>
    <w:rsid w:val="001938B1"/>
    <w:rsid w:val="001947E6"/>
    <w:rsid w:val="0019487C"/>
    <w:rsid w:val="00197B7C"/>
    <w:rsid w:val="001A1653"/>
    <w:rsid w:val="001A17DA"/>
    <w:rsid w:val="001A2A65"/>
    <w:rsid w:val="001B2445"/>
    <w:rsid w:val="001B3171"/>
    <w:rsid w:val="001B39EF"/>
    <w:rsid w:val="001C0555"/>
    <w:rsid w:val="001C1904"/>
    <w:rsid w:val="001C378D"/>
    <w:rsid w:val="001C3958"/>
    <w:rsid w:val="001C4372"/>
    <w:rsid w:val="001C453F"/>
    <w:rsid w:val="001D17B6"/>
    <w:rsid w:val="001D3E23"/>
    <w:rsid w:val="001D4912"/>
    <w:rsid w:val="001D614E"/>
    <w:rsid w:val="001E164F"/>
    <w:rsid w:val="001E29E0"/>
    <w:rsid w:val="001E3C95"/>
    <w:rsid w:val="001E5324"/>
    <w:rsid w:val="001E5569"/>
    <w:rsid w:val="001E7940"/>
    <w:rsid w:val="001F1B55"/>
    <w:rsid w:val="001F3651"/>
    <w:rsid w:val="001F3BD5"/>
    <w:rsid w:val="001F3FAA"/>
    <w:rsid w:val="001F5B49"/>
    <w:rsid w:val="001F5F20"/>
    <w:rsid w:val="001F6EE1"/>
    <w:rsid w:val="00202090"/>
    <w:rsid w:val="0020510B"/>
    <w:rsid w:val="00206FC5"/>
    <w:rsid w:val="00210771"/>
    <w:rsid w:val="0021262C"/>
    <w:rsid w:val="00212AB5"/>
    <w:rsid w:val="00213021"/>
    <w:rsid w:val="00213503"/>
    <w:rsid w:val="00215EB4"/>
    <w:rsid w:val="00220546"/>
    <w:rsid w:val="00220B7F"/>
    <w:rsid w:val="002214A6"/>
    <w:rsid w:val="00221AAE"/>
    <w:rsid w:val="00222AD4"/>
    <w:rsid w:val="002240C9"/>
    <w:rsid w:val="00225B66"/>
    <w:rsid w:val="00225D10"/>
    <w:rsid w:val="00226437"/>
    <w:rsid w:val="00226AA9"/>
    <w:rsid w:val="00226CF0"/>
    <w:rsid w:val="00227C6F"/>
    <w:rsid w:val="0023249E"/>
    <w:rsid w:val="00232F05"/>
    <w:rsid w:val="0023627D"/>
    <w:rsid w:val="00240FB7"/>
    <w:rsid w:val="00244D26"/>
    <w:rsid w:val="0024528D"/>
    <w:rsid w:val="002456B7"/>
    <w:rsid w:val="00245C01"/>
    <w:rsid w:val="00246AB4"/>
    <w:rsid w:val="00250793"/>
    <w:rsid w:val="00252468"/>
    <w:rsid w:val="00260DBA"/>
    <w:rsid w:val="00262367"/>
    <w:rsid w:val="00264EE5"/>
    <w:rsid w:val="00265957"/>
    <w:rsid w:val="00266C74"/>
    <w:rsid w:val="00270F48"/>
    <w:rsid w:val="00271CE7"/>
    <w:rsid w:val="002722F5"/>
    <w:rsid w:val="002734BE"/>
    <w:rsid w:val="0027411B"/>
    <w:rsid w:val="00274A25"/>
    <w:rsid w:val="002822A3"/>
    <w:rsid w:val="0028278B"/>
    <w:rsid w:val="00282CD3"/>
    <w:rsid w:val="00282DC1"/>
    <w:rsid w:val="00290E3D"/>
    <w:rsid w:val="002920B7"/>
    <w:rsid w:val="00293901"/>
    <w:rsid w:val="002946FE"/>
    <w:rsid w:val="00296EEB"/>
    <w:rsid w:val="00296FD2"/>
    <w:rsid w:val="002A1016"/>
    <w:rsid w:val="002A1081"/>
    <w:rsid w:val="002A173B"/>
    <w:rsid w:val="002A2100"/>
    <w:rsid w:val="002A59CF"/>
    <w:rsid w:val="002A7AEA"/>
    <w:rsid w:val="002B1A93"/>
    <w:rsid w:val="002B2BA8"/>
    <w:rsid w:val="002B2FC9"/>
    <w:rsid w:val="002B49CB"/>
    <w:rsid w:val="002B53E1"/>
    <w:rsid w:val="002C22FD"/>
    <w:rsid w:val="002C29D6"/>
    <w:rsid w:val="002C5703"/>
    <w:rsid w:val="002C5B5A"/>
    <w:rsid w:val="002C7539"/>
    <w:rsid w:val="002D08F5"/>
    <w:rsid w:val="002D0AF2"/>
    <w:rsid w:val="002D0E72"/>
    <w:rsid w:val="002D1F04"/>
    <w:rsid w:val="002D313B"/>
    <w:rsid w:val="002D49D4"/>
    <w:rsid w:val="002D5D35"/>
    <w:rsid w:val="002D68EE"/>
    <w:rsid w:val="002D6948"/>
    <w:rsid w:val="002E050A"/>
    <w:rsid w:val="002E164F"/>
    <w:rsid w:val="002E1ECA"/>
    <w:rsid w:val="002E45FD"/>
    <w:rsid w:val="002F124A"/>
    <w:rsid w:val="002F17C4"/>
    <w:rsid w:val="002F209F"/>
    <w:rsid w:val="002F7C4D"/>
    <w:rsid w:val="003016AE"/>
    <w:rsid w:val="00302E9E"/>
    <w:rsid w:val="003130B2"/>
    <w:rsid w:val="00313233"/>
    <w:rsid w:val="003141FA"/>
    <w:rsid w:val="0031624E"/>
    <w:rsid w:val="00320AA9"/>
    <w:rsid w:val="003218A7"/>
    <w:rsid w:val="003255B3"/>
    <w:rsid w:val="003304FA"/>
    <w:rsid w:val="003310B0"/>
    <w:rsid w:val="003330EE"/>
    <w:rsid w:val="00336671"/>
    <w:rsid w:val="003406E1"/>
    <w:rsid w:val="00341007"/>
    <w:rsid w:val="003433BA"/>
    <w:rsid w:val="00344EE1"/>
    <w:rsid w:val="00346580"/>
    <w:rsid w:val="00352068"/>
    <w:rsid w:val="00356259"/>
    <w:rsid w:val="00356AD4"/>
    <w:rsid w:val="003575FA"/>
    <w:rsid w:val="00362763"/>
    <w:rsid w:val="003630AA"/>
    <w:rsid w:val="0036470C"/>
    <w:rsid w:val="00364D9C"/>
    <w:rsid w:val="00365469"/>
    <w:rsid w:val="0036664B"/>
    <w:rsid w:val="0037219C"/>
    <w:rsid w:val="00374816"/>
    <w:rsid w:val="00375193"/>
    <w:rsid w:val="00375948"/>
    <w:rsid w:val="00376C33"/>
    <w:rsid w:val="003779DA"/>
    <w:rsid w:val="00380122"/>
    <w:rsid w:val="00380383"/>
    <w:rsid w:val="003839A3"/>
    <w:rsid w:val="00383B0F"/>
    <w:rsid w:val="0039277F"/>
    <w:rsid w:val="003937BE"/>
    <w:rsid w:val="00393C09"/>
    <w:rsid w:val="0039799F"/>
    <w:rsid w:val="003A0234"/>
    <w:rsid w:val="003A32BD"/>
    <w:rsid w:val="003A36C2"/>
    <w:rsid w:val="003A4443"/>
    <w:rsid w:val="003A45C9"/>
    <w:rsid w:val="003A6080"/>
    <w:rsid w:val="003C0021"/>
    <w:rsid w:val="003C0DCC"/>
    <w:rsid w:val="003C2CF6"/>
    <w:rsid w:val="003C4F27"/>
    <w:rsid w:val="003C736A"/>
    <w:rsid w:val="003C796B"/>
    <w:rsid w:val="003D3352"/>
    <w:rsid w:val="003D7CC4"/>
    <w:rsid w:val="003E054E"/>
    <w:rsid w:val="003E6FC1"/>
    <w:rsid w:val="003E7975"/>
    <w:rsid w:val="003F0E2C"/>
    <w:rsid w:val="003F3354"/>
    <w:rsid w:val="003F3842"/>
    <w:rsid w:val="003F6426"/>
    <w:rsid w:val="004014DA"/>
    <w:rsid w:val="00402AF8"/>
    <w:rsid w:val="004032DF"/>
    <w:rsid w:val="00404894"/>
    <w:rsid w:val="00405B28"/>
    <w:rsid w:val="00405C1B"/>
    <w:rsid w:val="004075C3"/>
    <w:rsid w:val="00410E00"/>
    <w:rsid w:val="004150A0"/>
    <w:rsid w:val="004156D6"/>
    <w:rsid w:val="004158C8"/>
    <w:rsid w:val="00416B50"/>
    <w:rsid w:val="00416D1E"/>
    <w:rsid w:val="004213F6"/>
    <w:rsid w:val="00421D6A"/>
    <w:rsid w:val="00423C38"/>
    <w:rsid w:val="004261BC"/>
    <w:rsid w:val="00430E69"/>
    <w:rsid w:val="00432A33"/>
    <w:rsid w:val="00432AAD"/>
    <w:rsid w:val="004330BD"/>
    <w:rsid w:val="00435FD8"/>
    <w:rsid w:val="00441742"/>
    <w:rsid w:val="004424A5"/>
    <w:rsid w:val="00443B2D"/>
    <w:rsid w:val="00444A82"/>
    <w:rsid w:val="0044635F"/>
    <w:rsid w:val="0045026C"/>
    <w:rsid w:val="00452FE4"/>
    <w:rsid w:val="0045411C"/>
    <w:rsid w:val="00455D03"/>
    <w:rsid w:val="00456175"/>
    <w:rsid w:val="00461EEA"/>
    <w:rsid w:val="0046348F"/>
    <w:rsid w:val="00463B8A"/>
    <w:rsid w:val="0046574D"/>
    <w:rsid w:val="004664EE"/>
    <w:rsid w:val="00474059"/>
    <w:rsid w:val="004740AB"/>
    <w:rsid w:val="0047584A"/>
    <w:rsid w:val="00475990"/>
    <w:rsid w:val="00475B1C"/>
    <w:rsid w:val="004764B7"/>
    <w:rsid w:val="00476B16"/>
    <w:rsid w:val="00477872"/>
    <w:rsid w:val="00482C57"/>
    <w:rsid w:val="00482F2B"/>
    <w:rsid w:val="00484737"/>
    <w:rsid w:val="00484BD0"/>
    <w:rsid w:val="00485181"/>
    <w:rsid w:val="00494405"/>
    <w:rsid w:val="004973A7"/>
    <w:rsid w:val="004A3183"/>
    <w:rsid w:val="004A5B3C"/>
    <w:rsid w:val="004A643B"/>
    <w:rsid w:val="004B1796"/>
    <w:rsid w:val="004B17BC"/>
    <w:rsid w:val="004B47D8"/>
    <w:rsid w:val="004B711D"/>
    <w:rsid w:val="004B7AD8"/>
    <w:rsid w:val="004B7E6F"/>
    <w:rsid w:val="004B7EDD"/>
    <w:rsid w:val="004C2BE2"/>
    <w:rsid w:val="004C2EBE"/>
    <w:rsid w:val="004C3A19"/>
    <w:rsid w:val="004C4124"/>
    <w:rsid w:val="004C705E"/>
    <w:rsid w:val="004D048D"/>
    <w:rsid w:val="004D1440"/>
    <w:rsid w:val="004D26E2"/>
    <w:rsid w:val="004D3DDE"/>
    <w:rsid w:val="004D7F9A"/>
    <w:rsid w:val="004E06BA"/>
    <w:rsid w:val="004E0AAF"/>
    <w:rsid w:val="004E1221"/>
    <w:rsid w:val="004E2278"/>
    <w:rsid w:val="004E2E5D"/>
    <w:rsid w:val="004E4DDE"/>
    <w:rsid w:val="004E7F55"/>
    <w:rsid w:val="004F0505"/>
    <w:rsid w:val="004F0C77"/>
    <w:rsid w:val="004F501E"/>
    <w:rsid w:val="005000C9"/>
    <w:rsid w:val="00500604"/>
    <w:rsid w:val="00501242"/>
    <w:rsid w:val="005058BA"/>
    <w:rsid w:val="00505DC9"/>
    <w:rsid w:val="00507191"/>
    <w:rsid w:val="00507573"/>
    <w:rsid w:val="0051340D"/>
    <w:rsid w:val="005149F2"/>
    <w:rsid w:val="00514D0E"/>
    <w:rsid w:val="00516464"/>
    <w:rsid w:val="0051674C"/>
    <w:rsid w:val="00517108"/>
    <w:rsid w:val="00520B7E"/>
    <w:rsid w:val="00520BD1"/>
    <w:rsid w:val="005220D4"/>
    <w:rsid w:val="0052217D"/>
    <w:rsid w:val="005224A1"/>
    <w:rsid w:val="005230E5"/>
    <w:rsid w:val="005236DF"/>
    <w:rsid w:val="00524E3B"/>
    <w:rsid w:val="00527FB3"/>
    <w:rsid w:val="005314F8"/>
    <w:rsid w:val="005353EE"/>
    <w:rsid w:val="005358FD"/>
    <w:rsid w:val="0053590A"/>
    <w:rsid w:val="005414F4"/>
    <w:rsid w:val="00543407"/>
    <w:rsid w:val="00544484"/>
    <w:rsid w:val="005451CA"/>
    <w:rsid w:val="00547E66"/>
    <w:rsid w:val="00553117"/>
    <w:rsid w:val="005536E5"/>
    <w:rsid w:val="00553A01"/>
    <w:rsid w:val="005561DD"/>
    <w:rsid w:val="00556698"/>
    <w:rsid w:val="00557977"/>
    <w:rsid w:val="00562305"/>
    <w:rsid w:val="00566B5B"/>
    <w:rsid w:val="00566FB8"/>
    <w:rsid w:val="005715DA"/>
    <w:rsid w:val="005722BE"/>
    <w:rsid w:val="00572A57"/>
    <w:rsid w:val="00574954"/>
    <w:rsid w:val="00585216"/>
    <w:rsid w:val="00585FF2"/>
    <w:rsid w:val="00586674"/>
    <w:rsid w:val="0058770D"/>
    <w:rsid w:val="00590A25"/>
    <w:rsid w:val="00590C84"/>
    <w:rsid w:val="005934D1"/>
    <w:rsid w:val="00593561"/>
    <w:rsid w:val="005935FB"/>
    <w:rsid w:val="005941F9"/>
    <w:rsid w:val="005953EE"/>
    <w:rsid w:val="00595A03"/>
    <w:rsid w:val="005961C4"/>
    <w:rsid w:val="005A01E2"/>
    <w:rsid w:val="005A06ED"/>
    <w:rsid w:val="005A1877"/>
    <w:rsid w:val="005A3221"/>
    <w:rsid w:val="005A6A2F"/>
    <w:rsid w:val="005B0389"/>
    <w:rsid w:val="005B0566"/>
    <w:rsid w:val="005B0B82"/>
    <w:rsid w:val="005B11AC"/>
    <w:rsid w:val="005B2708"/>
    <w:rsid w:val="005B29AD"/>
    <w:rsid w:val="005B45BD"/>
    <w:rsid w:val="005B6667"/>
    <w:rsid w:val="005C08A7"/>
    <w:rsid w:val="005C128D"/>
    <w:rsid w:val="005C38F6"/>
    <w:rsid w:val="005C4654"/>
    <w:rsid w:val="005C578C"/>
    <w:rsid w:val="005C5F31"/>
    <w:rsid w:val="005C6CDA"/>
    <w:rsid w:val="005C7714"/>
    <w:rsid w:val="005D049B"/>
    <w:rsid w:val="005D2E08"/>
    <w:rsid w:val="005D4334"/>
    <w:rsid w:val="005D4A4C"/>
    <w:rsid w:val="005D561A"/>
    <w:rsid w:val="005D6F9F"/>
    <w:rsid w:val="005D7049"/>
    <w:rsid w:val="005D7FA5"/>
    <w:rsid w:val="005E32C0"/>
    <w:rsid w:val="005F3168"/>
    <w:rsid w:val="00600D7D"/>
    <w:rsid w:val="006028A9"/>
    <w:rsid w:val="00607ECC"/>
    <w:rsid w:val="006101F9"/>
    <w:rsid w:val="006123E8"/>
    <w:rsid w:val="00612F3E"/>
    <w:rsid w:val="00613417"/>
    <w:rsid w:val="006152E5"/>
    <w:rsid w:val="006201AE"/>
    <w:rsid w:val="006208D5"/>
    <w:rsid w:val="00622725"/>
    <w:rsid w:val="00623169"/>
    <w:rsid w:val="00623C6E"/>
    <w:rsid w:val="00623CD0"/>
    <w:rsid w:val="006242BA"/>
    <w:rsid w:val="00625C58"/>
    <w:rsid w:val="006264CC"/>
    <w:rsid w:val="00627806"/>
    <w:rsid w:val="0063028F"/>
    <w:rsid w:val="006311F8"/>
    <w:rsid w:val="00634D50"/>
    <w:rsid w:val="006350E7"/>
    <w:rsid w:val="00636299"/>
    <w:rsid w:val="00636B71"/>
    <w:rsid w:val="00641244"/>
    <w:rsid w:val="00642BE9"/>
    <w:rsid w:val="006465BD"/>
    <w:rsid w:val="0065562C"/>
    <w:rsid w:val="00664FDB"/>
    <w:rsid w:val="0066674E"/>
    <w:rsid w:val="006673D6"/>
    <w:rsid w:val="0067191C"/>
    <w:rsid w:val="00671971"/>
    <w:rsid w:val="006738E2"/>
    <w:rsid w:val="00673C84"/>
    <w:rsid w:val="00674DC8"/>
    <w:rsid w:val="006754EC"/>
    <w:rsid w:val="00675B4C"/>
    <w:rsid w:val="006806AF"/>
    <w:rsid w:val="00681C6C"/>
    <w:rsid w:val="00683BC6"/>
    <w:rsid w:val="00684153"/>
    <w:rsid w:val="0069066F"/>
    <w:rsid w:val="00690B07"/>
    <w:rsid w:val="006939E7"/>
    <w:rsid w:val="00693BBB"/>
    <w:rsid w:val="006966D7"/>
    <w:rsid w:val="006A13D9"/>
    <w:rsid w:val="006A2AC8"/>
    <w:rsid w:val="006A2E56"/>
    <w:rsid w:val="006A57DB"/>
    <w:rsid w:val="006A5D3C"/>
    <w:rsid w:val="006A7728"/>
    <w:rsid w:val="006B582D"/>
    <w:rsid w:val="006C19BE"/>
    <w:rsid w:val="006C1E83"/>
    <w:rsid w:val="006C2174"/>
    <w:rsid w:val="006C3867"/>
    <w:rsid w:val="006C3DCC"/>
    <w:rsid w:val="006C736E"/>
    <w:rsid w:val="006C761C"/>
    <w:rsid w:val="006D274C"/>
    <w:rsid w:val="006D37E3"/>
    <w:rsid w:val="006D3EFE"/>
    <w:rsid w:val="006D632B"/>
    <w:rsid w:val="006D715F"/>
    <w:rsid w:val="006D79A2"/>
    <w:rsid w:val="006D7AEB"/>
    <w:rsid w:val="006E02DE"/>
    <w:rsid w:val="006E6376"/>
    <w:rsid w:val="006E7A61"/>
    <w:rsid w:val="006E7B62"/>
    <w:rsid w:val="006F3F0D"/>
    <w:rsid w:val="006F47FB"/>
    <w:rsid w:val="00701941"/>
    <w:rsid w:val="00702AF0"/>
    <w:rsid w:val="00705E4F"/>
    <w:rsid w:val="00706637"/>
    <w:rsid w:val="007075C4"/>
    <w:rsid w:val="007079D2"/>
    <w:rsid w:val="00710821"/>
    <w:rsid w:val="0071099A"/>
    <w:rsid w:val="007148BE"/>
    <w:rsid w:val="007176E6"/>
    <w:rsid w:val="00720C10"/>
    <w:rsid w:val="00724E4B"/>
    <w:rsid w:val="007316AC"/>
    <w:rsid w:val="00731ACE"/>
    <w:rsid w:val="00734A71"/>
    <w:rsid w:val="00734CA3"/>
    <w:rsid w:val="00742808"/>
    <w:rsid w:val="007437B5"/>
    <w:rsid w:val="00746BA5"/>
    <w:rsid w:val="007512A5"/>
    <w:rsid w:val="00752D78"/>
    <w:rsid w:val="007562FE"/>
    <w:rsid w:val="007571D2"/>
    <w:rsid w:val="00760742"/>
    <w:rsid w:val="00761534"/>
    <w:rsid w:val="00762066"/>
    <w:rsid w:val="007649F4"/>
    <w:rsid w:val="00771B97"/>
    <w:rsid w:val="00771CE1"/>
    <w:rsid w:val="00777FE6"/>
    <w:rsid w:val="007801DD"/>
    <w:rsid w:val="0078181B"/>
    <w:rsid w:val="007843CC"/>
    <w:rsid w:val="0078744D"/>
    <w:rsid w:val="00794767"/>
    <w:rsid w:val="00795C26"/>
    <w:rsid w:val="00795C68"/>
    <w:rsid w:val="007976ED"/>
    <w:rsid w:val="0079789E"/>
    <w:rsid w:val="007A0DA3"/>
    <w:rsid w:val="007A3D73"/>
    <w:rsid w:val="007A69B7"/>
    <w:rsid w:val="007A6AEB"/>
    <w:rsid w:val="007A6E3B"/>
    <w:rsid w:val="007B1D41"/>
    <w:rsid w:val="007B1D7B"/>
    <w:rsid w:val="007B5BFD"/>
    <w:rsid w:val="007B5E60"/>
    <w:rsid w:val="007B7F27"/>
    <w:rsid w:val="007C3569"/>
    <w:rsid w:val="007C524C"/>
    <w:rsid w:val="007C65DF"/>
    <w:rsid w:val="007D1658"/>
    <w:rsid w:val="007D2936"/>
    <w:rsid w:val="007D50F3"/>
    <w:rsid w:val="007D5E60"/>
    <w:rsid w:val="007D7F0D"/>
    <w:rsid w:val="007E26CE"/>
    <w:rsid w:val="007E2BD4"/>
    <w:rsid w:val="007F5F5C"/>
    <w:rsid w:val="007F7C36"/>
    <w:rsid w:val="00802CB2"/>
    <w:rsid w:val="00803E3C"/>
    <w:rsid w:val="008072A2"/>
    <w:rsid w:val="008074D0"/>
    <w:rsid w:val="00807565"/>
    <w:rsid w:val="0081060F"/>
    <w:rsid w:val="008132BD"/>
    <w:rsid w:val="008132E8"/>
    <w:rsid w:val="00814570"/>
    <w:rsid w:val="00814B03"/>
    <w:rsid w:val="00814E9F"/>
    <w:rsid w:val="00817E22"/>
    <w:rsid w:val="008219BD"/>
    <w:rsid w:val="00823567"/>
    <w:rsid w:val="00826CD3"/>
    <w:rsid w:val="00826D73"/>
    <w:rsid w:val="00832070"/>
    <w:rsid w:val="0083249A"/>
    <w:rsid w:val="00832D3A"/>
    <w:rsid w:val="00833799"/>
    <w:rsid w:val="00833FE6"/>
    <w:rsid w:val="0083641D"/>
    <w:rsid w:val="00837548"/>
    <w:rsid w:val="0084046B"/>
    <w:rsid w:val="008417C5"/>
    <w:rsid w:val="008429E4"/>
    <w:rsid w:val="00843E6A"/>
    <w:rsid w:val="00844B57"/>
    <w:rsid w:val="00844E00"/>
    <w:rsid w:val="0084775F"/>
    <w:rsid w:val="008511AA"/>
    <w:rsid w:val="00852713"/>
    <w:rsid w:val="00852B1D"/>
    <w:rsid w:val="008534E3"/>
    <w:rsid w:val="00853A36"/>
    <w:rsid w:val="008549E8"/>
    <w:rsid w:val="00856105"/>
    <w:rsid w:val="00856449"/>
    <w:rsid w:val="00856C73"/>
    <w:rsid w:val="008601F9"/>
    <w:rsid w:val="00860A3D"/>
    <w:rsid w:val="00860EAC"/>
    <w:rsid w:val="0086301D"/>
    <w:rsid w:val="0086394F"/>
    <w:rsid w:val="008652CD"/>
    <w:rsid w:val="00865EA4"/>
    <w:rsid w:val="00867D01"/>
    <w:rsid w:val="00871CA2"/>
    <w:rsid w:val="008728A9"/>
    <w:rsid w:val="00875B3B"/>
    <w:rsid w:val="00877464"/>
    <w:rsid w:val="0088001E"/>
    <w:rsid w:val="0088101C"/>
    <w:rsid w:val="00881216"/>
    <w:rsid w:val="0088125A"/>
    <w:rsid w:val="00882974"/>
    <w:rsid w:val="00883F4C"/>
    <w:rsid w:val="008844D6"/>
    <w:rsid w:val="00885027"/>
    <w:rsid w:val="008851E3"/>
    <w:rsid w:val="00887058"/>
    <w:rsid w:val="00887C39"/>
    <w:rsid w:val="0089413D"/>
    <w:rsid w:val="00895217"/>
    <w:rsid w:val="00896649"/>
    <w:rsid w:val="008975AA"/>
    <w:rsid w:val="00897E51"/>
    <w:rsid w:val="008A122C"/>
    <w:rsid w:val="008A1774"/>
    <w:rsid w:val="008A18F7"/>
    <w:rsid w:val="008B054D"/>
    <w:rsid w:val="008B0A4D"/>
    <w:rsid w:val="008B29BF"/>
    <w:rsid w:val="008B5CB7"/>
    <w:rsid w:val="008B5CF9"/>
    <w:rsid w:val="008B5F10"/>
    <w:rsid w:val="008B7196"/>
    <w:rsid w:val="008C0A8D"/>
    <w:rsid w:val="008C0CB5"/>
    <w:rsid w:val="008C2389"/>
    <w:rsid w:val="008C348C"/>
    <w:rsid w:val="008C386C"/>
    <w:rsid w:val="008D3443"/>
    <w:rsid w:val="008D37DF"/>
    <w:rsid w:val="008D7FF7"/>
    <w:rsid w:val="008E48FC"/>
    <w:rsid w:val="008E6697"/>
    <w:rsid w:val="008F1C6A"/>
    <w:rsid w:val="008F2A83"/>
    <w:rsid w:val="008F4253"/>
    <w:rsid w:val="008F5242"/>
    <w:rsid w:val="008F6E3B"/>
    <w:rsid w:val="008F7C6F"/>
    <w:rsid w:val="00900A2D"/>
    <w:rsid w:val="00905199"/>
    <w:rsid w:val="00905371"/>
    <w:rsid w:val="00907787"/>
    <w:rsid w:val="00910EC5"/>
    <w:rsid w:val="00914CB9"/>
    <w:rsid w:val="00916061"/>
    <w:rsid w:val="009179A7"/>
    <w:rsid w:val="0092056E"/>
    <w:rsid w:val="00920E56"/>
    <w:rsid w:val="00921ED2"/>
    <w:rsid w:val="009230A9"/>
    <w:rsid w:val="009238C5"/>
    <w:rsid w:val="00924BB5"/>
    <w:rsid w:val="0092510B"/>
    <w:rsid w:val="0092581C"/>
    <w:rsid w:val="00930C2C"/>
    <w:rsid w:val="00932897"/>
    <w:rsid w:val="00935438"/>
    <w:rsid w:val="009409C3"/>
    <w:rsid w:val="009418E4"/>
    <w:rsid w:val="009426E7"/>
    <w:rsid w:val="009436AB"/>
    <w:rsid w:val="00943E3A"/>
    <w:rsid w:val="00945900"/>
    <w:rsid w:val="00951B26"/>
    <w:rsid w:val="00951C6E"/>
    <w:rsid w:val="009528B6"/>
    <w:rsid w:val="0095443A"/>
    <w:rsid w:val="009550E8"/>
    <w:rsid w:val="00962C24"/>
    <w:rsid w:val="00962F03"/>
    <w:rsid w:val="00964E33"/>
    <w:rsid w:val="009653AE"/>
    <w:rsid w:val="009671F3"/>
    <w:rsid w:val="00970F72"/>
    <w:rsid w:val="009765AC"/>
    <w:rsid w:val="009805BE"/>
    <w:rsid w:val="0098231E"/>
    <w:rsid w:val="00983669"/>
    <w:rsid w:val="00987C48"/>
    <w:rsid w:val="009904AA"/>
    <w:rsid w:val="00990A31"/>
    <w:rsid w:val="00993EE9"/>
    <w:rsid w:val="0099574F"/>
    <w:rsid w:val="009A09A0"/>
    <w:rsid w:val="009A1D57"/>
    <w:rsid w:val="009A22CA"/>
    <w:rsid w:val="009B0061"/>
    <w:rsid w:val="009B0325"/>
    <w:rsid w:val="009B2B10"/>
    <w:rsid w:val="009B2B99"/>
    <w:rsid w:val="009B2EEF"/>
    <w:rsid w:val="009B3884"/>
    <w:rsid w:val="009B6FA2"/>
    <w:rsid w:val="009C1F66"/>
    <w:rsid w:val="009C4DBF"/>
    <w:rsid w:val="009C5325"/>
    <w:rsid w:val="009C5727"/>
    <w:rsid w:val="009D27A7"/>
    <w:rsid w:val="009D2B3E"/>
    <w:rsid w:val="009D3CB1"/>
    <w:rsid w:val="009D423C"/>
    <w:rsid w:val="009D43A5"/>
    <w:rsid w:val="009E0663"/>
    <w:rsid w:val="009E068C"/>
    <w:rsid w:val="009E3B18"/>
    <w:rsid w:val="009E4096"/>
    <w:rsid w:val="009F2673"/>
    <w:rsid w:val="009F32FF"/>
    <w:rsid w:val="009F430D"/>
    <w:rsid w:val="009F4831"/>
    <w:rsid w:val="009F5D1A"/>
    <w:rsid w:val="009F608A"/>
    <w:rsid w:val="00A02CDC"/>
    <w:rsid w:val="00A04A35"/>
    <w:rsid w:val="00A04ECD"/>
    <w:rsid w:val="00A06CA2"/>
    <w:rsid w:val="00A07F30"/>
    <w:rsid w:val="00A10D99"/>
    <w:rsid w:val="00A136B5"/>
    <w:rsid w:val="00A13B1D"/>
    <w:rsid w:val="00A14BBE"/>
    <w:rsid w:val="00A23493"/>
    <w:rsid w:val="00A23CDC"/>
    <w:rsid w:val="00A23E82"/>
    <w:rsid w:val="00A27AA9"/>
    <w:rsid w:val="00A30DEF"/>
    <w:rsid w:val="00A35272"/>
    <w:rsid w:val="00A35F96"/>
    <w:rsid w:val="00A36A1D"/>
    <w:rsid w:val="00A36DD3"/>
    <w:rsid w:val="00A401B1"/>
    <w:rsid w:val="00A40877"/>
    <w:rsid w:val="00A41401"/>
    <w:rsid w:val="00A43A79"/>
    <w:rsid w:val="00A504A3"/>
    <w:rsid w:val="00A60AA8"/>
    <w:rsid w:val="00A61D6E"/>
    <w:rsid w:val="00A62496"/>
    <w:rsid w:val="00A645C7"/>
    <w:rsid w:val="00A65BCC"/>
    <w:rsid w:val="00A70A8E"/>
    <w:rsid w:val="00A70CB3"/>
    <w:rsid w:val="00A70F3A"/>
    <w:rsid w:val="00A7103E"/>
    <w:rsid w:val="00A728F6"/>
    <w:rsid w:val="00A7325F"/>
    <w:rsid w:val="00A73473"/>
    <w:rsid w:val="00A736AD"/>
    <w:rsid w:val="00A75441"/>
    <w:rsid w:val="00A813B6"/>
    <w:rsid w:val="00A83846"/>
    <w:rsid w:val="00A84B83"/>
    <w:rsid w:val="00A85360"/>
    <w:rsid w:val="00A870A1"/>
    <w:rsid w:val="00A87291"/>
    <w:rsid w:val="00A90D9E"/>
    <w:rsid w:val="00A9169A"/>
    <w:rsid w:val="00A9316D"/>
    <w:rsid w:val="00A93410"/>
    <w:rsid w:val="00A94DF5"/>
    <w:rsid w:val="00A970E9"/>
    <w:rsid w:val="00A9777C"/>
    <w:rsid w:val="00AA16A2"/>
    <w:rsid w:val="00AA1D08"/>
    <w:rsid w:val="00AA3BA4"/>
    <w:rsid w:val="00AA5228"/>
    <w:rsid w:val="00AA620C"/>
    <w:rsid w:val="00AB1ED2"/>
    <w:rsid w:val="00AB2FCD"/>
    <w:rsid w:val="00AC0541"/>
    <w:rsid w:val="00AC085C"/>
    <w:rsid w:val="00AC0956"/>
    <w:rsid w:val="00AC1943"/>
    <w:rsid w:val="00AC1ED2"/>
    <w:rsid w:val="00AC2F89"/>
    <w:rsid w:val="00AC585C"/>
    <w:rsid w:val="00AC615D"/>
    <w:rsid w:val="00AC6AEF"/>
    <w:rsid w:val="00AC7506"/>
    <w:rsid w:val="00AD241D"/>
    <w:rsid w:val="00AD3137"/>
    <w:rsid w:val="00AD3A0F"/>
    <w:rsid w:val="00AD6637"/>
    <w:rsid w:val="00AD68B8"/>
    <w:rsid w:val="00AE1569"/>
    <w:rsid w:val="00AE36F9"/>
    <w:rsid w:val="00AE66EE"/>
    <w:rsid w:val="00AF1A82"/>
    <w:rsid w:val="00AF2564"/>
    <w:rsid w:val="00AF47B7"/>
    <w:rsid w:val="00AF5A24"/>
    <w:rsid w:val="00AF5E2C"/>
    <w:rsid w:val="00B056EC"/>
    <w:rsid w:val="00B07C86"/>
    <w:rsid w:val="00B112CC"/>
    <w:rsid w:val="00B16520"/>
    <w:rsid w:val="00B20DF7"/>
    <w:rsid w:val="00B23993"/>
    <w:rsid w:val="00B24AE6"/>
    <w:rsid w:val="00B307A7"/>
    <w:rsid w:val="00B30FCD"/>
    <w:rsid w:val="00B336C6"/>
    <w:rsid w:val="00B3390C"/>
    <w:rsid w:val="00B33BE3"/>
    <w:rsid w:val="00B35011"/>
    <w:rsid w:val="00B35D36"/>
    <w:rsid w:val="00B36989"/>
    <w:rsid w:val="00B36E1A"/>
    <w:rsid w:val="00B37D05"/>
    <w:rsid w:val="00B37D09"/>
    <w:rsid w:val="00B40FB6"/>
    <w:rsid w:val="00B4370F"/>
    <w:rsid w:val="00B51A24"/>
    <w:rsid w:val="00B51AC3"/>
    <w:rsid w:val="00B531A1"/>
    <w:rsid w:val="00B53F6A"/>
    <w:rsid w:val="00B5406E"/>
    <w:rsid w:val="00B55666"/>
    <w:rsid w:val="00B57272"/>
    <w:rsid w:val="00B60635"/>
    <w:rsid w:val="00B62F4F"/>
    <w:rsid w:val="00B6444C"/>
    <w:rsid w:val="00B64622"/>
    <w:rsid w:val="00B64C16"/>
    <w:rsid w:val="00B671CE"/>
    <w:rsid w:val="00B67358"/>
    <w:rsid w:val="00B717A1"/>
    <w:rsid w:val="00B71C18"/>
    <w:rsid w:val="00B76379"/>
    <w:rsid w:val="00B766FA"/>
    <w:rsid w:val="00B77EAE"/>
    <w:rsid w:val="00B801F1"/>
    <w:rsid w:val="00B81415"/>
    <w:rsid w:val="00B82113"/>
    <w:rsid w:val="00B84A6C"/>
    <w:rsid w:val="00B84D0F"/>
    <w:rsid w:val="00B85B2C"/>
    <w:rsid w:val="00B8662C"/>
    <w:rsid w:val="00B87874"/>
    <w:rsid w:val="00B87DBE"/>
    <w:rsid w:val="00B92D9A"/>
    <w:rsid w:val="00B94C1B"/>
    <w:rsid w:val="00BA05F2"/>
    <w:rsid w:val="00BA16B6"/>
    <w:rsid w:val="00BA2AE9"/>
    <w:rsid w:val="00BA67CA"/>
    <w:rsid w:val="00BA74FD"/>
    <w:rsid w:val="00BB39D1"/>
    <w:rsid w:val="00BB4C3F"/>
    <w:rsid w:val="00BB6061"/>
    <w:rsid w:val="00BC267F"/>
    <w:rsid w:val="00BC2C88"/>
    <w:rsid w:val="00BC2E07"/>
    <w:rsid w:val="00BC5E33"/>
    <w:rsid w:val="00BC76D0"/>
    <w:rsid w:val="00BC7B7F"/>
    <w:rsid w:val="00BD054A"/>
    <w:rsid w:val="00BD24EE"/>
    <w:rsid w:val="00BD3EF6"/>
    <w:rsid w:val="00BD4751"/>
    <w:rsid w:val="00BE1817"/>
    <w:rsid w:val="00BE2407"/>
    <w:rsid w:val="00BE7ECF"/>
    <w:rsid w:val="00BF1A20"/>
    <w:rsid w:val="00BF349B"/>
    <w:rsid w:val="00C00E24"/>
    <w:rsid w:val="00C02D33"/>
    <w:rsid w:val="00C0350C"/>
    <w:rsid w:val="00C06094"/>
    <w:rsid w:val="00C0698B"/>
    <w:rsid w:val="00C075EF"/>
    <w:rsid w:val="00C078D3"/>
    <w:rsid w:val="00C12188"/>
    <w:rsid w:val="00C12942"/>
    <w:rsid w:val="00C15978"/>
    <w:rsid w:val="00C17236"/>
    <w:rsid w:val="00C21090"/>
    <w:rsid w:val="00C224AA"/>
    <w:rsid w:val="00C246B0"/>
    <w:rsid w:val="00C24789"/>
    <w:rsid w:val="00C24F08"/>
    <w:rsid w:val="00C266DA"/>
    <w:rsid w:val="00C26F35"/>
    <w:rsid w:val="00C31328"/>
    <w:rsid w:val="00C340EF"/>
    <w:rsid w:val="00C36CD4"/>
    <w:rsid w:val="00C437BD"/>
    <w:rsid w:val="00C43C1C"/>
    <w:rsid w:val="00C456BF"/>
    <w:rsid w:val="00C4714E"/>
    <w:rsid w:val="00C47490"/>
    <w:rsid w:val="00C50724"/>
    <w:rsid w:val="00C51393"/>
    <w:rsid w:val="00C5213F"/>
    <w:rsid w:val="00C53D03"/>
    <w:rsid w:val="00C53F61"/>
    <w:rsid w:val="00C60C9F"/>
    <w:rsid w:val="00C610E8"/>
    <w:rsid w:val="00C622E4"/>
    <w:rsid w:val="00C6370D"/>
    <w:rsid w:val="00C655EF"/>
    <w:rsid w:val="00C661F3"/>
    <w:rsid w:val="00C66A2F"/>
    <w:rsid w:val="00C67D09"/>
    <w:rsid w:val="00C719FC"/>
    <w:rsid w:val="00C71C24"/>
    <w:rsid w:val="00C763D5"/>
    <w:rsid w:val="00C773BA"/>
    <w:rsid w:val="00C80268"/>
    <w:rsid w:val="00C82D1C"/>
    <w:rsid w:val="00C8354D"/>
    <w:rsid w:val="00C83B0D"/>
    <w:rsid w:val="00C83DA2"/>
    <w:rsid w:val="00C841BB"/>
    <w:rsid w:val="00C86243"/>
    <w:rsid w:val="00C915A2"/>
    <w:rsid w:val="00C947F7"/>
    <w:rsid w:val="00C9499D"/>
    <w:rsid w:val="00C95842"/>
    <w:rsid w:val="00CA1EA5"/>
    <w:rsid w:val="00CA33F8"/>
    <w:rsid w:val="00CA3576"/>
    <w:rsid w:val="00CA52E7"/>
    <w:rsid w:val="00CB1E9E"/>
    <w:rsid w:val="00CB2602"/>
    <w:rsid w:val="00CB415A"/>
    <w:rsid w:val="00CB417C"/>
    <w:rsid w:val="00CB4493"/>
    <w:rsid w:val="00CB4D99"/>
    <w:rsid w:val="00CB56AA"/>
    <w:rsid w:val="00CB6AA7"/>
    <w:rsid w:val="00CC56FA"/>
    <w:rsid w:val="00CC5B0C"/>
    <w:rsid w:val="00CD1276"/>
    <w:rsid w:val="00CD316C"/>
    <w:rsid w:val="00CD554E"/>
    <w:rsid w:val="00CD72F1"/>
    <w:rsid w:val="00CE00FD"/>
    <w:rsid w:val="00CE0B06"/>
    <w:rsid w:val="00CE1F36"/>
    <w:rsid w:val="00CE768C"/>
    <w:rsid w:val="00CE7F73"/>
    <w:rsid w:val="00CF1F59"/>
    <w:rsid w:val="00CF267B"/>
    <w:rsid w:val="00CF48DB"/>
    <w:rsid w:val="00CF5062"/>
    <w:rsid w:val="00CF636D"/>
    <w:rsid w:val="00D0023B"/>
    <w:rsid w:val="00D01D22"/>
    <w:rsid w:val="00D0520C"/>
    <w:rsid w:val="00D10B12"/>
    <w:rsid w:val="00D11AC5"/>
    <w:rsid w:val="00D11C5E"/>
    <w:rsid w:val="00D11FB9"/>
    <w:rsid w:val="00D123D6"/>
    <w:rsid w:val="00D138D1"/>
    <w:rsid w:val="00D14066"/>
    <w:rsid w:val="00D14275"/>
    <w:rsid w:val="00D15AFA"/>
    <w:rsid w:val="00D16164"/>
    <w:rsid w:val="00D161A0"/>
    <w:rsid w:val="00D179D5"/>
    <w:rsid w:val="00D17FBA"/>
    <w:rsid w:val="00D23E37"/>
    <w:rsid w:val="00D250DE"/>
    <w:rsid w:val="00D30D89"/>
    <w:rsid w:val="00D31D13"/>
    <w:rsid w:val="00D33B66"/>
    <w:rsid w:val="00D33E95"/>
    <w:rsid w:val="00D34034"/>
    <w:rsid w:val="00D3575F"/>
    <w:rsid w:val="00D4016F"/>
    <w:rsid w:val="00D40C71"/>
    <w:rsid w:val="00D4178B"/>
    <w:rsid w:val="00D436B4"/>
    <w:rsid w:val="00D450AA"/>
    <w:rsid w:val="00D45387"/>
    <w:rsid w:val="00D458D9"/>
    <w:rsid w:val="00D4668E"/>
    <w:rsid w:val="00D46AF8"/>
    <w:rsid w:val="00D521FD"/>
    <w:rsid w:val="00D5273E"/>
    <w:rsid w:val="00D52DFD"/>
    <w:rsid w:val="00D53E04"/>
    <w:rsid w:val="00D54E05"/>
    <w:rsid w:val="00D563B3"/>
    <w:rsid w:val="00D571C9"/>
    <w:rsid w:val="00D60898"/>
    <w:rsid w:val="00D636EE"/>
    <w:rsid w:val="00D63899"/>
    <w:rsid w:val="00D64CCA"/>
    <w:rsid w:val="00D66563"/>
    <w:rsid w:val="00D66761"/>
    <w:rsid w:val="00D66E83"/>
    <w:rsid w:val="00D71909"/>
    <w:rsid w:val="00D7213A"/>
    <w:rsid w:val="00D7263F"/>
    <w:rsid w:val="00D728D6"/>
    <w:rsid w:val="00D800B3"/>
    <w:rsid w:val="00D8117B"/>
    <w:rsid w:val="00D844CD"/>
    <w:rsid w:val="00D86209"/>
    <w:rsid w:val="00D9016C"/>
    <w:rsid w:val="00D9458D"/>
    <w:rsid w:val="00D94ECC"/>
    <w:rsid w:val="00DA0E22"/>
    <w:rsid w:val="00DA2C57"/>
    <w:rsid w:val="00DA3A49"/>
    <w:rsid w:val="00DA4DE3"/>
    <w:rsid w:val="00DA70AE"/>
    <w:rsid w:val="00DA76B6"/>
    <w:rsid w:val="00DB0E7F"/>
    <w:rsid w:val="00DB5266"/>
    <w:rsid w:val="00DB69E5"/>
    <w:rsid w:val="00DC0942"/>
    <w:rsid w:val="00DC0983"/>
    <w:rsid w:val="00DC2AC2"/>
    <w:rsid w:val="00DC5E60"/>
    <w:rsid w:val="00DD04FC"/>
    <w:rsid w:val="00DD13A8"/>
    <w:rsid w:val="00DD1713"/>
    <w:rsid w:val="00DD250D"/>
    <w:rsid w:val="00DE1191"/>
    <w:rsid w:val="00DE15E4"/>
    <w:rsid w:val="00DE2DBB"/>
    <w:rsid w:val="00DE4828"/>
    <w:rsid w:val="00DE58D9"/>
    <w:rsid w:val="00DE6902"/>
    <w:rsid w:val="00DF230C"/>
    <w:rsid w:val="00DF3537"/>
    <w:rsid w:val="00E00A75"/>
    <w:rsid w:val="00E00B21"/>
    <w:rsid w:val="00E03639"/>
    <w:rsid w:val="00E0371C"/>
    <w:rsid w:val="00E11B8D"/>
    <w:rsid w:val="00E12831"/>
    <w:rsid w:val="00E1341A"/>
    <w:rsid w:val="00E13891"/>
    <w:rsid w:val="00E1579F"/>
    <w:rsid w:val="00E16589"/>
    <w:rsid w:val="00E17FBF"/>
    <w:rsid w:val="00E21B82"/>
    <w:rsid w:val="00E2287A"/>
    <w:rsid w:val="00E26671"/>
    <w:rsid w:val="00E27C86"/>
    <w:rsid w:val="00E301A7"/>
    <w:rsid w:val="00E30668"/>
    <w:rsid w:val="00E31314"/>
    <w:rsid w:val="00E32F15"/>
    <w:rsid w:val="00E37029"/>
    <w:rsid w:val="00E402D7"/>
    <w:rsid w:val="00E42761"/>
    <w:rsid w:val="00E51873"/>
    <w:rsid w:val="00E51C51"/>
    <w:rsid w:val="00E54184"/>
    <w:rsid w:val="00E567AD"/>
    <w:rsid w:val="00E56EAB"/>
    <w:rsid w:val="00E5709A"/>
    <w:rsid w:val="00E657DF"/>
    <w:rsid w:val="00E6583E"/>
    <w:rsid w:val="00E65F2A"/>
    <w:rsid w:val="00E71539"/>
    <w:rsid w:val="00E7423D"/>
    <w:rsid w:val="00E765C3"/>
    <w:rsid w:val="00E7701F"/>
    <w:rsid w:val="00E77028"/>
    <w:rsid w:val="00E774F1"/>
    <w:rsid w:val="00E8208A"/>
    <w:rsid w:val="00E821ED"/>
    <w:rsid w:val="00E82363"/>
    <w:rsid w:val="00E83598"/>
    <w:rsid w:val="00E8408E"/>
    <w:rsid w:val="00E84534"/>
    <w:rsid w:val="00E9033F"/>
    <w:rsid w:val="00E90BAB"/>
    <w:rsid w:val="00E91F3A"/>
    <w:rsid w:val="00E921C8"/>
    <w:rsid w:val="00E96F90"/>
    <w:rsid w:val="00EA0904"/>
    <w:rsid w:val="00EA2B0D"/>
    <w:rsid w:val="00EA2CFA"/>
    <w:rsid w:val="00EA2E9A"/>
    <w:rsid w:val="00EA3201"/>
    <w:rsid w:val="00EA5A99"/>
    <w:rsid w:val="00EB01C4"/>
    <w:rsid w:val="00EB2B57"/>
    <w:rsid w:val="00EB4B93"/>
    <w:rsid w:val="00EB5737"/>
    <w:rsid w:val="00EB5F15"/>
    <w:rsid w:val="00EC380E"/>
    <w:rsid w:val="00EC5A07"/>
    <w:rsid w:val="00EC7CEC"/>
    <w:rsid w:val="00ED405A"/>
    <w:rsid w:val="00ED504E"/>
    <w:rsid w:val="00ED5D3C"/>
    <w:rsid w:val="00ED6688"/>
    <w:rsid w:val="00EE7491"/>
    <w:rsid w:val="00EE771F"/>
    <w:rsid w:val="00EF00E8"/>
    <w:rsid w:val="00EF1CF9"/>
    <w:rsid w:val="00EF3EB0"/>
    <w:rsid w:val="00EF5279"/>
    <w:rsid w:val="00EF745B"/>
    <w:rsid w:val="00EF7491"/>
    <w:rsid w:val="00EF7940"/>
    <w:rsid w:val="00F01FDB"/>
    <w:rsid w:val="00F0239E"/>
    <w:rsid w:val="00F0412B"/>
    <w:rsid w:val="00F047CC"/>
    <w:rsid w:val="00F04B3E"/>
    <w:rsid w:val="00F057BB"/>
    <w:rsid w:val="00F0728E"/>
    <w:rsid w:val="00F074A5"/>
    <w:rsid w:val="00F10A28"/>
    <w:rsid w:val="00F13D2E"/>
    <w:rsid w:val="00F14493"/>
    <w:rsid w:val="00F1524F"/>
    <w:rsid w:val="00F155DF"/>
    <w:rsid w:val="00F1740D"/>
    <w:rsid w:val="00F1740E"/>
    <w:rsid w:val="00F20CF4"/>
    <w:rsid w:val="00F24C65"/>
    <w:rsid w:val="00F26949"/>
    <w:rsid w:val="00F27A9E"/>
    <w:rsid w:val="00F31FF2"/>
    <w:rsid w:val="00F347AB"/>
    <w:rsid w:val="00F34BF5"/>
    <w:rsid w:val="00F35D6F"/>
    <w:rsid w:val="00F3660D"/>
    <w:rsid w:val="00F41079"/>
    <w:rsid w:val="00F42819"/>
    <w:rsid w:val="00F46B9F"/>
    <w:rsid w:val="00F47E4B"/>
    <w:rsid w:val="00F52591"/>
    <w:rsid w:val="00F53DD8"/>
    <w:rsid w:val="00F54911"/>
    <w:rsid w:val="00F561BC"/>
    <w:rsid w:val="00F57612"/>
    <w:rsid w:val="00F60ADE"/>
    <w:rsid w:val="00F61945"/>
    <w:rsid w:val="00F66E39"/>
    <w:rsid w:val="00F74C70"/>
    <w:rsid w:val="00F840E2"/>
    <w:rsid w:val="00F854E2"/>
    <w:rsid w:val="00F85825"/>
    <w:rsid w:val="00F86644"/>
    <w:rsid w:val="00F86F3D"/>
    <w:rsid w:val="00F872E4"/>
    <w:rsid w:val="00F873EA"/>
    <w:rsid w:val="00F875A6"/>
    <w:rsid w:val="00F87650"/>
    <w:rsid w:val="00F90904"/>
    <w:rsid w:val="00F911DB"/>
    <w:rsid w:val="00F94EDE"/>
    <w:rsid w:val="00F95146"/>
    <w:rsid w:val="00F95A7B"/>
    <w:rsid w:val="00F97A96"/>
    <w:rsid w:val="00FA1685"/>
    <w:rsid w:val="00FA37DA"/>
    <w:rsid w:val="00FA42CB"/>
    <w:rsid w:val="00FA4692"/>
    <w:rsid w:val="00FA47CF"/>
    <w:rsid w:val="00FA5320"/>
    <w:rsid w:val="00FB2206"/>
    <w:rsid w:val="00FB4D9D"/>
    <w:rsid w:val="00FB56F6"/>
    <w:rsid w:val="00FB5929"/>
    <w:rsid w:val="00FB5AEE"/>
    <w:rsid w:val="00FB70F5"/>
    <w:rsid w:val="00FB772F"/>
    <w:rsid w:val="00FC0179"/>
    <w:rsid w:val="00FC2C4F"/>
    <w:rsid w:val="00FC3BF5"/>
    <w:rsid w:val="00FC48BE"/>
    <w:rsid w:val="00FC5429"/>
    <w:rsid w:val="00FD1B69"/>
    <w:rsid w:val="00FD1F4A"/>
    <w:rsid w:val="00FE03F7"/>
    <w:rsid w:val="00FE12CE"/>
    <w:rsid w:val="00FE608B"/>
    <w:rsid w:val="00FF17B2"/>
    <w:rsid w:val="00FF2B21"/>
    <w:rsid w:val="00FF2D8B"/>
    <w:rsid w:val="00FF3EE2"/>
    <w:rsid w:val="00FF453B"/>
    <w:rsid w:val="00FF53D1"/>
    <w:rsid w:val="00FF5412"/>
    <w:rsid w:val="00FF56B9"/>
    <w:rsid w:val="00FF6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5F8FAB26-EFA8-4F62-9C89-7D080E951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413D"/>
    <w:pPr>
      <w:autoSpaceDE w:val="0"/>
      <w:autoSpaceDN w:val="0"/>
      <w:spacing w:before="240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7325F"/>
    <w:pPr>
      <w:keepNext/>
      <w:keepLines/>
      <w:spacing w:before="48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C29D6"/>
    <w:pPr>
      <w:keepNext/>
      <w:widowControl w:val="0"/>
      <w:autoSpaceDE/>
      <w:autoSpaceDN/>
      <w:adjustRightInd w:val="0"/>
      <w:spacing w:after="60" w:line="360" w:lineRule="atLeast"/>
      <w:jc w:val="both"/>
      <w:textAlignment w:val="baseline"/>
      <w:outlineLvl w:val="1"/>
    </w:pPr>
    <w:rPr>
      <w:rFonts w:ascii="Cambria" w:hAnsi="Cambria" w:cs="Cambria"/>
      <w:b/>
      <w:bCs/>
      <w:i/>
      <w:iCs/>
      <w:sz w:val="28"/>
      <w:szCs w:val="28"/>
      <w:lang w:val="cs-CZ" w:eastAsia="cs-CZ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26949"/>
    <w:pPr>
      <w:keepNext/>
      <w:spacing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F7C36"/>
    <w:pPr>
      <w:spacing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5B2708"/>
    <w:pPr>
      <w:keepNext/>
      <w:keepLines/>
      <w:spacing w:before="200"/>
      <w:outlineLvl w:val="5"/>
    </w:pPr>
    <w:rPr>
      <w:rFonts w:ascii="Cambria" w:hAnsi="Cambria" w:cs="Cambria"/>
      <w:i/>
      <w:iCs/>
      <w:color w:val="243F6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D3DDE"/>
    <w:pPr>
      <w:spacing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A7325F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rsid w:val="002C29D6"/>
    <w:rPr>
      <w:rFonts w:ascii="Cambria" w:hAnsi="Cambria" w:cs="Cambria"/>
      <w:b/>
      <w:bCs/>
      <w:i/>
      <w:iCs/>
      <w:sz w:val="28"/>
      <w:szCs w:val="28"/>
      <w:lang w:val="cs-CZ" w:eastAsia="cs-CZ"/>
    </w:rPr>
  </w:style>
  <w:style w:type="character" w:customStyle="1" w:styleId="Heading4Char">
    <w:name w:val="Heading 4 Char"/>
    <w:basedOn w:val="DefaultParagraphFont"/>
    <w:link w:val="Heading4"/>
    <w:uiPriority w:val="99"/>
    <w:semiHidden/>
    <w:rsid w:val="00843E6A"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rsid w:val="007F7C36"/>
    <w:rPr>
      <w:rFonts w:ascii="Calibri" w:hAnsi="Calibri" w:cs="Calibr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9"/>
    <w:semiHidden/>
    <w:rsid w:val="005B2708"/>
    <w:rPr>
      <w:rFonts w:ascii="Cambria" w:hAnsi="Cambria" w:cs="Cambria"/>
      <w:i/>
      <w:iCs/>
      <w:color w:val="243F60"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9"/>
    <w:rsid w:val="007F7C36"/>
    <w:rPr>
      <w:rFonts w:ascii="Arial" w:hAnsi="Arial" w:cs="Arial"/>
      <w:sz w:val="22"/>
      <w:szCs w:val="22"/>
    </w:rPr>
  </w:style>
  <w:style w:type="paragraph" w:customStyle="1" w:styleId="e-Heading1">
    <w:name w:val="e-Heading 1"/>
    <w:basedOn w:val="Heading4"/>
    <w:uiPriority w:val="99"/>
    <w:rsid w:val="00F26949"/>
    <w:pPr>
      <w:spacing w:before="0" w:after="0"/>
    </w:pPr>
    <w:rPr>
      <w:sz w:val="24"/>
      <w:szCs w:val="24"/>
      <w:u w:val="single"/>
      <w:lang w:eastAsia="cs-CZ"/>
    </w:rPr>
  </w:style>
  <w:style w:type="paragraph" w:customStyle="1" w:styleId="e-Heading2">
    <w:name w:val="e-Heading 2"/>
    <w:basedOn w:val="BodyText"/>
    <w:uiPriority w:val="99"/>
    <w:rsid w:val="00F26949"/>
    <w:pPr>
      <w:tabs>
        <w:tab w:val="left" w:pos="5040"/>
      </w:tabs>
      <w:spacing w:after="0"/>
      <w:ind w:left="720" w:hanging="720"/>
    </w:pPr>
    <w:rPr>
      <w:b/>
      <w:bCs/>
      <w:lang w:val="fr-FR" w:eastAsia="cs-CZ"/>
    </w:rPr>
  </w:style>
  <w:style w:type="paragraph" w:styleId="BodyText">
    <w:name w:val="Body Text"/>
    <w:basedOn w:val="Normal"/>
    <w:link w:val="BodyTextChar"/>
    <w:uiPriority w:val="99"/>
    <w:rsid w:val="00F57612"/>
    <w:pPr>
      <w:spacing w:after="120"/>
      <w:ind w:left="811"/>
      <w:jc w:val="both"/>
    </w:pPr>
    <w:rPr>
      <w:i/>
      <w:iCs/>
      <w:lang w:val="cs-CZ"/>
    </w:rPr>
  </w:style>
  <w:style w:type="character" w:customStyle="1" w:styleId="BodyTextChar">
    <w:name w:val="Body Text Char"/>
    <w:basedOn w:val="DefaultParagraphFont"/>
    <w:link w:val="BodyText"/>
    <w:uiPriority w:val="99"/>
    <w:rsid w:val="00F57612"/>
    <w:rPr>
      <w:i/>
      <w:iCs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rsid w:val="004D3DDE"/>
    <w:rPr>
      <w:color w:val="0000FF"/>
      <w:u w:val="single"/>
    </w:rPr>
  </w:style>
  <w:style w:type="paragraph" w:customStyle="1" w:styleId="StyleBodyTextItalicChar">
    <w:name w:val="Style Body Text + Italic Char"/>
    <w:basedOn w:val="BodyText"/>
    <w:link w:val="StyleBodyTextItalicCharChar"/>
    <w:uiPriority w:val="99"/>
    <w:rsid w:val="004D3DDE"/>
    <w:pPr>
      <w:spacing w:after="0"/>
    </w:pPr>
    <w:rPr>
      <w:i w:val="0"/>
      <w:iCs w:val="0"/>
    </w:rPr>
  </w:style>
  <w:style w:type="character" w:customStyle="1" w:styleId="StyleBodyTextItalicCharChar">
    <w:name w:val="Style Body Text + Italic Char Char"/>
    <w:basedOn w:val="DefaultParagraphFont"/>
    <w:link w:val="StyleBodyTextItalicChar"/>
    <w:uiPriority w:val="99"/>
    <w:rsid w:val="004D3DDE"/>
    <w:rPr>
      <w:i/>
      <w:iCs/>
      <w:sz w:val="24"/>
      <w:szCs w:val="24"/>
      <w:lang w:val="en-US" w:eastAsia="en-US"/>
    </w:rPr>
  </w:style>
  <w:style w:type="paragraph" w:customStyle="1" w:styleId="StyleBodyTextItalicBlueUnderline">
    <w:name w:val="Style Body Text + Italic Blue Underline"/>
    <w:basedOn w:val="BodyText"/>
    <w:link w:val="StyleBodyTextItalicBlueUnderlineChar"/>
    <w:uiPriority w:val="99"/>
    <w:rsid w:val="004D3DDE"/>
    <w:pPr>
      <w:spacing w:after="0"/>
    </w:pPr>
    <w:rPr>
      <w:i w:val="0"/>
      <w:iCs w:val="0"/>
      <w:color w:val="0000FF"/>
      <w:u w:val="single"/>
    </w:rPr>
  </w:style>
  <w:style w:type="character" w:customStyle="1" w:styleId="StyleBodyTextItalicBlueUnderlineChar">
    <w:name w:val="Style Body Text + Italic Blue Underline Char"/>
    <w:basedOn w:val="DefaultParagraphFont"/>
    <w:link w:val="StyleBodyTextItalicBlueUnderline"/>
    <w:uiPriority w:val="99"/>
    <w:rsid w:val="004D3DDE"/>
    <w:rPr>
      <w:i/>
      <w:iCs/>
      <w:color w:val="0000FF"/>
      <w:sz w:val="24"/>
      <w:szCs w:val="24"/>
      <w:u w:val="single"/>
      <w:lang w:val="en-US" w:eastAsia="en-US"/>
    </w:rPr>
  </w:style>
  <w:style w:type="paragraph" w:customStyle="1" w:styleId="A-Citace-1cislovani">
    <w:name w:val="A-Citace-1.cislovani"/>
    <w:basedOn w:val="Normal"/>
    <w:link w:val="A-Citace-1cislovaniChar"/>
    <w:uiPriority w:val="99"/>
    <w:rsid w:val="001348A4"/>
    <w:pPr>
      <w:widowControl w:val="0"/>
      <w:numPr>
        <w:numId w:val="6"/>
      </w:numPr>
      <w:autoSpaceDE/>
      <w:autoSpaceDN/>
      <w:adjustRightInd w:val="0"/>
      <w:spacing w:line="360" w:lineRule="atLeast"/>
      <w:jc w:val="both"/>
      <w:textAlignment w:val="baseline"/>
    </w:pPr>
    <w:rPr>
      <w:lang w:val="cs-CZ" w:eastAsia="cs-CZ"/>
    </w:rPr>
  </w:style>
  <w:style w:type="character" w:customStyle="1" w:styleId="A-Citace-1cislovaniChar">
    <w:name w:val="A-Citace-1.cislovani Char"/>
    <w:basedOn w:val="DefaultParagraphFont"/>
    <w:link w:val="A-Citace-1cislovani"/>
    <w:uiPriority w:val="99"/>
    <w:rsid w:val="001348A4"/>
    <w:rPr>
      <w:sz w:val="24"/>
      <w:szCs w:val="24"/>
      <w:lang w:val="cs-CZ" w:eastAsia="cs-CZ"/>
    </w:rPr>
  </w:style>
  <w:style w:type="paragraph" w:styleId="BalloonText">
    <w:name w:val="Balloon Text"/>
    <w:basedOn w:val="Normal"/>
    <w:link w:val="BalloonTextChar"/>
    <w:uiPriority w:val="99"/>
    <w:semiHidden/>
    <w:rsid w:val="00F31F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FF2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99"/>
    <w:qFormat/>
    <w:rsid w:val="00FF2D8B"/>
    <w:pPr>
      <w:ind w:left="708"/>
    </w:pPr>
  </w:style>
  <w:style w:type="character" w:styleId="Emphasis">
    <w:name w:val="Emphasis"/>
    <w:basedOn w:val="DefaultParagraphFont"/>
    <w:uiPriority w:val="20"/>
    <w:qFormat/>
    <w:rsid w:val="00F57612"/>
    <w:rPr>
      <w:i/>
      <w:iCs/>
    </w:rPr>
  </w:style>
  <w:style w:type="character" w:styleId="SubtleEmphasis">
    <w:name w:val="Subtle Emphasis"/>
    <w:basedOn w:val="DefaultParagraphFont"/>
    <w:uiPriority w:val="99"/>
    <w:qFormat/>
    <w:rsid w:val="00F57612"/>
    <w:rPr>
      <w:i/>
      <w:iCs/>
      <w:color w:val="808080"/>
    </w:rPr>
  </w:style>
  <w:style w:type="character" w:styleId="FollowedHyperlink">
    <w:name w:val="FollowedHyperlink"/>
    <w:basedOn w:val="DefaultParagraphFont"/>
    <w:uiPriority w:val="99"/>
    <w:semiHidden/>
    <w:rsid w:val="00E42761"/>
    <w:rPr>
      <w:color w:val="800080"/>
      <w:u w:val="single"/>
    </w:rPr>
  </w:style>
  <w:style w:type="paragraph" w:styleId="NormalWeb">
    <w:name w:val="Normal (Web)"/>
    <w:basedOn w:val="Normal"/>
    <w:uiPriority w:val="99"/>
    <w:rsid w:val="008D3443"/>
    <w:pPr>
      <w:autoSpaceDE/>
      <w:autoSpaceDN/>
      <w:spacing w:before="100" w:beforeAutospacing="1" w:after="100" w:afterAutospacing="1"/>
    </w:pPr>
  </w:style>
  <w:style w:type="paragraph" w:customStyle="1" w:styleId="A-Citace-J-nove-cislovani">
    <w:name w:val="A-Citace-J-nove-cislovani"/>
    <w:basedOn w:val="Normal"/>
    <w:uiPriority w:val="99"/>
    <w:rsid w:val="002C29D6"/>
    <w:pPr>
      <w:widowControl w:val="0"/>
      <w:numPr>
        <w:numId w:val="10"/>
      </w:numPr>
      <w:autoSpaceDE/>
      <w:autoSpaceDN/>
      <w:adjustRightInd w:val="0"/>
      <w:spacing w:line="360" w:lineRule="atLeast"/>
      <w:jc w:val="both"/>
      <w:textAlignment w:val="baseline"/>
    </w:pPr>
    <w:rPr>
      <w:lang w:eastAsia="cs-CZ"/>
    </w:rPr>
  </w:style>
  <w:style w:type="paragraph" w:customStyle="1" w:styleId="A-head-2">
    <w:name w:val="A-head-2"/>
    <w:basedOn w:val="Heading6"/>
    <w:next w:val="Normal"/>
    <w:uiPriority w:val="99"/>
    <w:rsid w:val="005B2708"/>
    <w:pPr>
      <w:keepLines w:val="0"/>
      <w:widowControl w:val="0"/>
      <w:numPr>
        <w:numId w:val="11"/>
      </w:numPr>
      <w:autoSpaceDE/>
      <w:autoSpaceDN/>
      <w:adjustRightInd w:val="0"/>
      <w:spacing w:before="360" w:line="360" w:lineRule="atLeast"/>
      <w:jc w:val="both"/>
      <w:textAlignment w:val="baseline"/>
    </w:pPr>
    <w:rPr>
      <w:rFonts w:ascii="Times New Roman" w:hAnsi="Times New Roman" w:cs="Times New Roman"/>
      <w:b/>
      <w:bCs/>
      <w:i w:val="0"/>
      <w:iCs w:val="0"/>
      <w:color w:val="auto"/>
      <w:lang w:val="cs-CZ" w:eastAsia="cs-CZ"/>
    </w:rPr>
  </w:style>
  <w:style w:type="paragraph" w:styleId="Header">
    <w:name w:val="header"/>
    <w:basedOn w:val="Normal"/>
    <w:link w:val="HeaderChar"/>
    <w:uiPriority w:val="99"/>
    <w:semiHidden/>
    <w:rsid w:val="0011040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10403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1040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10403"/>
    <w:rPr>
      <w:sz w:val="24"/>
      <w:szCs w:val="24"/>
    </w:rPr>
  </w:style>
  <w:style w:type="paragraph" w:customStyle="1" w:styleId="ER-OtherV">
    <w:name w:val="ER-OtherV"/>
    <w:basedOn w:val="Normal"/>
    <w:link w:val="ER-OtherVChar"/>
    <w:qFormat/>
    <w:rsid w:val="00F561BC"/>
    <w:pPr>
      <w:spacing w:before="120" w:line="360" w:lineRule="atLeast"/>
      <w:ind w:left="709"/>
      <w:jc w:val="both"/>
    </w:pPr>
  </w:style>
  <w:style w:type="character" w:customStyle="1" w:styleId="ER-OtherVChar">
    <w:name w:val="ER-OtherV Char"/>
    <w:basedOn w:val="DefaultParagraphFont"/>
    <w:link w:val="ER-OtherV"/>
    <w:rsid w:val="00F561BC"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557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57E9"/>
    <w:pPr>
      <w:autoSpaceDE/>
      <w:autoSpaceDN/>
      <w:spacing w:before="0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57E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07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19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0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6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06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14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9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4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53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6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4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94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9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02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2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0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902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05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96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0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6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0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rge-ei.cz/pdf/wp/wp520.pdf" TargetMode="External"/><Relationship Id="rId13" Type="http://schemas.openxmlformats.org/officeDocument/2006/relationships/hyperlink" Target="http://www.cerge-ei.cz/pdf/wp/Wp326.pdf" TargetMode="External"/><Relationship Id="rId18" Type="http://schemas.openxmlformats.org/officeDocument/2006/relationships/hyperlink" Target="http://www.cerge-ei.cz/pdf/wp/Wp175.pdf" TargetMode="External"/><Relationship Id="rId26" Type="http://schemas.openxmlformats.org/officeDocument/2006/relationships/hyperlink" Target="http://dx.doi.org/10.1016/j.joep.2007.07.003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cerge-ei.cz/pdf/wp/Wp445.pdf" TargetMode="External"/><Relationship Id="rId34" Type="http://schemas.openxmlformats.org/officeDocument/2006/relationships/hyperlink" Target="http://ideas.repec.org/p/sce/scecf9/922.html" TargetMode="External"/><Relationship Id="rId7" Type="http://schemas.openxmlformats.org/officeDocument/2006/relationships/hyperlink" Target="http://www.cerge-ei.cz/pdf/wp/Wp309.pdf" TargetMode="External"/><Relationship Id="rId12" Type="http://schemas.openxmlformats.org/officeDocument/2006/relationships/hyperlink" Target="http://www.cerge-ei.cz/pdf/wp/Wp205.pdf" TargetMode="External"/><Relationship Id="rId17" Type="http://schemas.openxmlformats.org/officeDocument/2006/relationships/hyperlink" Target="http://www.cerge-ei.cz/pdf/wp/Wp208.pdf" TargetMode="External"/><Relationship Id="rId25" Type="http://schemas.openxmlformats.org/officeDocument/2006/relationships/hyperlink" Target="http://www.cerge-ei.cz/pdf/pb/PB1.pdf" TargetMode="External"/><Relationship Id="rId33" Type="http://schemas.openxmlformats.org/officeDocument/2006/relationships/hyperlink" Target="http://repec.org/sce2004/up.22750.1078083491.pd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erge-ei.cz/pdf/wp/Wp293.pdf" TargetMode="External"/><Relationship Id="rId20" Type="http://schemas.openxmlformats.org/officeDocument/2006/relationships/hyperlink" Target="https://papers.ssrn.com/sol3/papers.cfm?abstract_id=2745219" TargetMode="External"/><Relationship Id="rId29" Type="http://schemas.openxmlformats.org/officeDocument/2006/relationships/hyperlink" Target="http://www.economicdynamics.org/meetpapers/2009/paper_654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erge-ei.cz/pdf/wp/Wp284.pdf" TargetMode="External"/><Relationship Id="rId24" Type="http://schemas.openxmlformats.org/officeDocument/2006/relationships/hyperlink" Target="http://www.cerge-ei.cz/pdf/pb/PB3.pdf" TargetMode="External"/><Relationship Id="rId32" Type="http://schemas.openxmlformats.org/officeDocument/2006/relationships/hyperlink" Target="http://repec.org/sce2006/up.28420.1141162925.pdf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cerge-ei.cz/pdf/wp/Wp355.pdf" TargetMode="External"/><Relationship Id="rId23" Type="http://schemas.openxmlformats.org/officeDocument/2006/relationships/hyperlink" Target="file:///C:\Users\tkejzlar\AppData\Local\Temp\(Policy%20Brief%20:%204).%20http:\www.cerge-ei.cz\pdf\pb\PB4.pdf" TargetMode="External"/><Relationship Id="rId28" Type="http://schemas.openxmlformats.org/officeDocument/2006/relationships/hyperlink" Target="http://www.macfindrobods.eu/files/files/Slobodyan-wouters.pdf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cerge-ei.cz/pdf/wp/Wp396.pdf" TargetMode="External"/><Relationship Id="rId19" Type="http://schemas.openxmlformats.org/officeDocument/2006/relationships/hyperlink" Target="http://128.118.178.162/eps/mac/papers/0106/0106001.pdf" TargetMode="External"/><Relationship Id="rId31" Type="http://schemas.openxmlformats.org/officeDocument/2006/relationships/hyperlink" Target="http://repec.org/sce2006/up.30186.1141164474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erge-ei.cz/pdf/wp/Wp285.pdf" TargetMode="External"/><Relationship Id="rId14" Type="http://schemas.openxmlformats.org/officeDocument/2006/relationships/hyperlink" Target="http://www.cerge-ei.cz/pdf/wp/Wp204.pdf" TargetMode="External"/><Relationship Id="rId22" Type="http://schemas.openxmlformats.org/officeDocument/2006/relationships/hyperlink" Target="http://www.cerge-ei.cz/pdf/events/papers/020923_t.pdf" TargetMode="External"/><Relationship Id="rId27" Type="http://schemas.openxmlformats.org/officeDocument/2006/relationships/hyperlink" Target="http://go.worldbank.org/72IA0Z4700" TargetMode="External"/><Relationship Id="rId30" Type="http://schemas.openxmlformats.org/officeDocument/2006/relationships/hyperlink" Target="http://www.cerge-ei.cz/pdf/events/papers/090410_t.pdf" TargetMode="External"/><Relationship Id="rId35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11</Pages>
  <Words>2917</Words>
  <Characters>16628</Characters>
  <Application>Microsoft Office Word</Application>
  <DocSecurity>0</DocSecurity>
  <Lines>138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</vt:lpstr>
    </vt:vector>
  </TitlesOfParts>
  <Company>CERGE EI</Company>
  <LinksUpToDate>false</LinksUpToDate>
  <CharactersWithSpaces>19506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</dc:title>
  <dc:creator>rihova</dc:creator>
  <cp:lastModifiedBy>Ditova Radana</cp:lastModifiedBy>
  <cp:revision>99</cp:revision>
  <cp:lastPrinted>2019-01-21T14:22:00Z</cp:lastPrinted>
  <dcterms:created xsi:type="dcterms:W3CDTF">2019-01-14T04:13:00Z</dcterms:created>
  <dcterms:modified xsi:type="dcterms:W3CDTF">2019-01-24T17:49:00Z</dcterms:modified>
</cp:coreProperties>
</file>