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3A" w:rsidRDefault="0063143A">
      <w:pPr>
        <w:pStyle w:val="NormlnsWWW"/>
        <w:spacing w:before="0" w:after="0"/>
        <w:jc w:val="center"/>
        <w:rPr>
          <w:b/>
          <w:bCs/>
          <w:caps/>
          <w:color w:val="0000FF"/>
          <w:sz w:val="28"/>
          <w:szCs w:val="28"/>
        </w:rPr>
      </w:pPr>
      <w:bookmarkStart w:id="0" w:name="_GoBack"/>
      <w:bookmarkEnd w:id="0"/>
      <w:r>
        <w:rPr>
          <w:b/>
          <w:bCs/>
          <w:caps/>
          <w:color w:val="0000FF"/>
          <w:sz w:val="28"/>
          <w:szCs w:val="28"/>
        </w:rPr>
        <w:t>Ověření pravosti podpisů a razítek na originálech dokladů o vzdělání</w:t>
      </w:r>
    </w:p>
    <w:p w:rsidR="0063143A" w:rsidRDefault="0063143A">
      <w:pPr>
        <w:pStyle w:val="NormlnsWWW"/>
        <w:spacing w:before="0" w:after="0"/>
        <w:rPr>
          <w:caps/>
        </w:rPr>
      </w:pPr>
    </w:p>
    <w:p w:rsidR="0063143A" w:rsidRDefault="0063143A">
      <w:pPr>
        <w:pStyle w:val="Nadpis1"/>
      </w:pPr>
      <w:r>
        <w:t>I. Ověření pravosti podpisů a razítek na originálech dokladů o vzdělání</w:t>
      </w:r>
    </w:p>
    <w:p w:rsidR="0063143A" w:rsidRDefault="0063143A">
      <w:r>
        <w:rPr>
          <w:b/>
          <w:bCs/>
        </w:rPr>
        <w:t>A</w:t>
      </w:r>
      <w:r>
        <w:t>. Postup ověřování lze rozdělit podle existujících mezinárodních závazků do tří skupin:</w:t>
      </w:r>
    </w:p>
    <w:p w:rsidR="0063143A" w:rsidRDefault="0063143A">
      <w:pPr>
        <w:numPr>
          <w:ilvl w:val="1"/>
          <w:numId w:val="1"/>
        </w:numPr>
      </w:pPr>
      <w:r>
        <w:t>S příslušným státem je uzavřena dvoustranná smlouva o právní pomoci – na doklady vydané ve smluvních státech se nevztahují náležitosti stanovené v § 90 odst. 3 zákona o vysokých školách, doklady platí na území smluvních států bez dalšího ověření</w:t>
      </w:r>
    </w:p>
    <w:p w:rsidR="0063143A" w:rsidRDefault="0063143A">
      <w:pPr>
        <w:numPr>
          <w:ilvl w:val="1"/>
          <w:numId w:val="1"/>
        </w:numPr>
      </w:pPr>
      <w:r>
        <w:t>S příslušným státem je uzavřena mnohostranná smlouva o zjednodušování ověřování cizích veřejných listin (Haagská úmluva) – doklady nemusí být legalizovány naším zastupitelským orgánem ČR ve smluvní zemi, v níž byl diplom vydán, je stanovená jednotná forma ověření listiny formou tzv. Apostille, smluvní státy určí orgány, které doklady Apostillou opatří</w:t>
      </w:r>
    </w:p>
    <w:p w:rsidR="0063143A" w:rsidRDefault="0063143A">
      <w:pPr>
        <w:numPr>
          <w:ilvl w:val="1"/>
          <w:numId w:val="1"/>
        </w:numPr>
      </w:pPr>
      <w:r>
        <w:t>Ostatní státy – diplomy a doklady o ukončení studia vystavené ve zbývajících státech musí být ověřeny v souladu s ustanovením § 90 odst. 3 zákona o vysokých školách, pravost podpisů a otisků razítek na originálech dokladů musí být ověřena:</w:t>
      </w:r>
    </w:p>
    <w:p w:rsidR="0063143A" w:rsidRDefault="0063143A"/>
    <w:p w:rsidR="0063143A" w:rsidRDefault="0063143A">
      <w:pPr>
        <w:numPr>
          <w:ilvl w:val="1"/>
          <w:numId w:val="2"/>
        </w:numPr>
      </w:pPr>
      <w:r>
        <w:t>MŠMT (Ministerstvem školství, mládeže a tělovýchovy) a cizozemským orgánem (Ministerstvo zahraničních věcí státu, v němž má škola sídlo nebo jiným cizozemským orgánem)</w:t>
      </w:r>
    </w:p>
    <w:p w:rsidR="0063143A" w:rsidRDefault="0063143A">
      <w:pPr>
        <w:numPr>
          <w:ilvl w:val="1"/>
          <w:numId w:val="2"/>
        </w:numPr>
      </w:pPr>
      <w:r>
        <w:t>naším orgánem (zastupitelský úřad ČR v zemi, kde sídlí vysoká škola, která diplom vydala)</w:t>
      </w:r>
    </w:p>
    <w:p w:rsidR="0063143A" w:rsidRDefault="0063143A"/>
    <w:p w:rsidR="0063143A" w:rsidRDefault="0063143A">
      <w:r>
        <w:t>Opatřit  vyšším ověřením lze i notářsky ověřené kopie a opisy diplomu. Na notářsky ověřenou kopii či opis diplomu, jehož originál byl již příslušným vyšším ověřením opatřen, připojí své vyšší ověření Ministerstvo spravedlnosti (Vyšehradská 16, 128 10 Praha 2, tel.: +420 221 997 111) a následně oddělení legalizace dokladů konzulárního odboru Ministerstva zahraničních věcí.</w:t>
      </w:r>
    </w:p>
    <w:p w:rsidR="0063143A" w:rsidRDefault="0063143A">
      <w:r>
        <w:t>Jedná-li se o ověření úředního překladu, ověřuje se registrace překladatele působícího v Praze u Městského soudu (Spálená 2, 112 16 Praha 2, tel.: +420 221 931 111). Ověření registrace mimopražského soudního překladatele provádí příslušný krajský soud, popřípadě centrálně Krajský soud v Praze (nám. Kinských 5, 157 75 Praha 5, tel.: +420 257 005 111). Následuje vyšší ověření Ministerstvem spravedlnosti a ověření oddělením legalizace dokladů konzulárního odboru Ministerstva zahraničních věcí.</w:t>
      </w:r>
    </w:p>
    <w:p w:rsidR="0063143A" w:rsidRDefault="0063143A"/>
    <w:p w:rsidR="0063143A" w:rsidRDefault="0063143A">
      <w:r>
        <w:rPr>
          <w:b/>
          <w:bCs/>
        </w:rPr>
        <w:t>B.</w:t>
      </w:r>
      <w:r>
        <w:t xml:space="preserve"> Právní předpisy</w:t>
      </w:r>
    </w:p>
    <w:p w:rsidR="0063143A" w:rsidRDefault="0063143A">
      <w:pPr>
        <w:numPr>
          <w:ilvl w:val="1"/>
          <w:numId w:val="3"/>
        </w:numPr>
      </w:pPr>
      <w:r>
        <w:t>Zákon č. 97/1963 Sb., o mezinárodním právu soukromém a procesním</w:t>
      </w:r>
    </w:p>
    <w:p w:rsidR="0063143A" w:rsidRDefault="0063143A">
      <w:pPr>
        <w:numPr>
          <w:ilvl w:val="1"/>
          <w:numId w:val="3"/>
        </w:numPr>
      </w:pPr>
      <w:r>
        <w:t>Zákon č. 45/1999 Sb., o přístupu ČR k Úmluvě o zrušení požadavku ověřování veřejných listin</w:t>
      </w:r>
    </w:p>
    <w:p w:rsidR="0063143A" w:rsidRDefault="0063143A">
      <w:pPr>
        <w:numPr>
          <w:ilvl w:val="1"/>
          <w:numId w:val="3"/>
        </w:numPr>
      </w:pPr>
      <w:r>
        <w:t>Zákon č. 634/2004 Sb., o správních poplatcích</w:t>
      </w:r>
    </w:p>
    <w:p w:rsidR="0063143A" w:rsidRDefault="0063143A">
      <w:pPr>
        <w:numPr>
          <w:ilvl w:val="1"/>
          <w:numId w:val="3"/>
        </w:numPr>
      </w:pPr>
      <w:r>
        <w:t>Mezinárodní smlouvy o právní pomoci, jimiž je ČR vázána</w:t>
      </w:r>
    </w:p>
    <w:p w:rsidR="0063143A" w:rsidRDefault="0063143A">
      <w:pPr>
        <w:numPr>
          <w:ilvl w:val="1"/>
          <w:numId w:val="3"/>
        </w:numPr>
      </w:pPr>
      <w:r>
        <w:t>Haagská úmluva</w:t>
      </w:r>
    </w:p>
    <w:p w:rsidR="0063143A" w:rsidRDefault="0063143A"/>
    <w:p w:rsidR="0063143A" w:rsidRDefault="0063143A">
      <w:pPr>
        <w:pStyle w:val="NormlnsWWW"/>
        <w:spacing w:before="0" w:after="0"/>
      </w:pPr>
      <w:r>
        <w:rPr>
          <w:b/>
          <w:bCs/>
        </w:rPr>
        <w:t>C.</w:t>
      </w:r>
      <w:r>
        <w:t xml:space="preserve"> Na koho se obrátit</w:t>
      </w:r>
    </w:p>
    <w:p w:rsidR="0063143A" w:rsidRDefault="0063143A">
      <w:pPr>
        <w:numPr>
          <w:ilvl w:val="1"/>
          <w:numId w:val="4"/>
        </w:numPr>
      </w:pPr>
      <w:r>
        <w:t>pracovníky odboru vysokých škol MŠMT, v úředních hodinách: pondělí a středa od 8.00 do 17.00 (přestávka od 12.00 do 13.30)</w:t>
      </w:r>
    </w:p>
    <w:p w:rsidR="0063143A" w:rsidRDefault="0063143A">
      <w:pPr>
        <w:numPr>
          <w:ilvl w:val="1"/>
          <w:numId w:val="4"/>
        </w:numPr>
      </w:pPr>
      <w:r>
        <w:lastRenderedPageBreak/>
        <w:t>nebo na pracovníky oddělení legalizace dokladů konzulárního odboru Ministerstva zahraničních věcí, v úředních hodinách: pondělí a středa od 8.00 do 17.00 (přestávka od 12.00 do 13.30) a úterý, čtvrtek, pátek od 8.00 do 12.00</w:t>
      </w:r>
    </w:p>
    <w:p w:rsidR="0063143A" w:rsidRDefault="0063143A">
      <w:pPr>
        <w:pStyle w:val="NormlnsWWW"/>
        <w:spacing w:before="0" w:after="0"/>
      </w:pPr>
      <w:r>
        <w:t xml:space="preserve"> </w:t>
      </w:r>
    </w:p>
    <w:p w:rsidR="0063143A" w:rsidRDefault="0063143A">
      <w:pPr>
        <w:pStyle w:val="NormlnsWWW"/>
        <w:spacing w:before="0" w:after="0"/>
      </w:pPr>
      <w:r>
        <w:rPr>
          <w:b/>
          <w:bCs/>
        </w:rPr>
        <w:t>D.</w:t>
      </w:r>
      <w:r>
        <w:t xml:space="preserve"> Další informace</w:t>
      </w:r>
    </w:p>
    <w:p w:rsidR="0063143A" w:rsidRDefault="0063143A">
      <w:pPr>
        <w:pStyle w:val="NormlnsWWW"/>
        <w:numPr>
          <w:ilvl w:val="1"/>
          <w:numId w:val="5"/>
        </w:numPr>
        <w:spacing w:before="0" w:after="0"/>
      </w:pPr>
      <w:r>
        <w:t>na úřadě je třeba předložit originál nebo úředně ověřenou kopii diplomu</w:t>
      </w:r>
    </w:p>
    <w:p w:rsidR="0063143A" w:rsidRDefault="0063143A">
      <w:pPr>
        <w:pStyle w:val="NormlnsWWW"/>
        <w:numPr>
          <w:ilvl w:val="1"/>
          <w:numId w:val="5"/>
        </w:numPr>
        <w:spacing w:before="0" w:after="0"/>
      </w:pPr>
      <w:r>
        <w:t>MŠMT požaduje za ověření diplomu správní poplatek formou kolku v hodnotě 30 Kč, který žadatel předkládá společně s diplomem, Ministerstvo spravedlnosti požaduje správní poplatek ve výši 30 Kč formou kolku, Ministerstvo zahraničních věcí správní poplatek ve výši 100 Kč</w:t>
      </w:r>
    </w:p>
    <w:p w:rsidR="0063143A" w:rsidRDefault="0063143A">
      <w:pPr>
        <w:pStyle w:val="NormlnsWWW"/>
        <w:numPr>
          <w:ilvl w:val="1"/>
          <w:numId w:val="5"/>
        </w:numPr>
        <w:spacing w:before="0" w:after="0"/>
      </w:pPr>
      <w:r>
        <w:t>žádost bude vyřízena na počkání, v případě písemného styku do 30 dní od obdržení žádosti a diplomu</w:t>
      </w:r>
    </w:p>
    <w:p w:rsidR="0063143A" w:rsidRDefault="0063143A">
      <w:pPr>
        <w:pStyle w:val="NormlnsWWW"/>
        <w:numPr>
          <w:ilvl w:val="1"/>
          <w:numId w:val="5"/>
        </w:numPr>
        <w:spacing w:before="0" w:after="0"/>
      </w:pPr>
      <w:r>
        <w:t>bližší informace získáte na:</w:t>
      </w:r>
    </w:p>
    <w:p w:rsidR="0063143A" w:rsidRDefault="0063143A">
      <w:pPr>
        <w:pStyle w:val="NormlnsWWW"/>
        <w:spacing w:before="0" w:after="0"/>
      </w:pPr>
    </w:p>
    <w:p w:rsidR="0063143A" w:rsidRDefault="0063143A">
      <w:pPr>
        <w:pStyle w:val="NormlnsWWW"/>
        <w:numPr>
          <w:ilvl w:val="1"/>
          <w:numId w:val="6"/>
        </w:numPr>
        <w:spacing w:before="0" w:after="0"/>
      </w:pPr>
      <w:r>
        <w:t>Ministerstvu školství, mládeže a tělovýchovy – odbor vysokých škol, Karmelitská 7, 118 12 Praha 1, tel.: +420 257 193 459</w:t>
      </w:r>
    </w:p>
    <w:p w:rsidR="0063143A" w:rsidRDefault="0063143A">
      <w:pPr>
        <w:pStyle w:val="NormlnsWWW"/>
        <w:numPr>
          <w:ilvl w:val="1"/>
          <w:numId w:val="6"/>
        </w:numPr>
        <w:spacing w:before="0" w:after="0"/>
      </w:pPr>
      <w:r>
        <w:t xml:space="preserve">Ministerstvu zahraničních věcí, Hradčanské náměstí č. 5, 118 00 Praha 1, </w:t>
      </w:r>
    </w:p>
    <w:p w:rsidR="0063143A" w:rsidRDefault="0063143A">
      <w:pPr>
        <w:pStyle w:val="NormlnsWWW"/>
        <w:spacing w:before="0" w:after="0"/>
        <w:ind w:left="1080"/>
      </w:pPr>
      <w:r>
        <w:t xml:space="preserve">      tel.: +420 224 182 188, 224 182 153</w:t>
      </w:r>
    </w:p>
    <w:p w:rsidR="0063143A" w:rsidRDefault="0063143A">
      <w:pPr>
        <w:pStyle w:val="NormlnsWWW"/>
        <w:spacing w:before="0" w:after="0"/>
      </w:pPr>
    </w:p>
    <w:p w:rsidR="0063143A" w:rsidRDefault="0063143A">
      <w:pPr>
        <w:pStyle w:val="NormlnsWWW"/>
        <w:spacing w:before="0" w:after="0"/>
      </w:pPr>
      <w:r>
        <w:t xml:space="preserve">Informace o orgánu, který vydává Apostille v jednotlivých členských státech jsou na </w:t>
      </w:r>
      <w:hyperlink r:id="rId6" w:history="1">
        <w:r w:rsidRPr="00620170">
          <w:rPr>
            <w:rStyle w:val="Hypertextovodkaz"/>
            <w:color w:val="3366FF"/>
          </w:rPr>
          <w:t>www.hcch.net</w:t>
        </w:r>
      </w:hyperlink>
      <w:r>
        <w:t>, konvence č. 12.</w:t>
      </w:r>
    </w:p>
    <w:p w:rsidR="0063143A" w:rsidRDefault="0063143A">
      <w:pPr>
        <w:pStyle w:val="Nadpis4"/>
        <w:spacing w:before="0" w:after="0"/>
        <w:ind w:right="482"/>
        <w:rPr>
          <w:color w:val="auto"/>
          <w:sz w:val="24"/>
          <w:szCs w:val="24"/>
        </w:rPr>
      </w:pPr>
    </w:p>
    <w:p w:rsidR="00620170" w:rsidRDefault="00620170" w:rsidP="00620170">
      <w:pPr>
        <w:jc w:val="both"/>
        <w:rPr>
          <w:b/>
          <w:bCs/>
        </w:rPr>
      </w:pPr>
    </w:p>
    <w:p w:rsidR="00620170" w:rsidRDefault="00620170" w:rsidP="00620170">
      <w:pPr>
        <w:jc w:val="both"/>
        <w:rPr>
          <w:b/>
          <w:bCs/>
        </w:rPr>
      </w:pPr>
    </w:p>
    <w:p w:rsidR="00620170" w:rsidRDefault="00620170" w:rsidP="00620170">
      <w:pPr>
        <w:jc w:val="both"/>
        <w:rPr>
          <w:b/>
          <w:bCs/>
        </w:rPr>
      </w:pPr>
    </w:p>
    <w:p w:rsidR="00620170" w:rsidRPr="00620170" w:rsidRDefault="00620170" w:rsidP="00620170">
      <w:pPr>
        <w:jc w:val="both"/>
        <w:rPr>
          <w:b/>
          <w:bCs/>
          <w:sz w:val="28"/>
          <w:szCs w:val="28"/>
        </w:rPr>
      </w:pPr>
      <w:r w:rsidRPr="00620170">
        <w:rPr>
          <w:b/>
          <w:bCs/>
          <w:sz w:val="28"/>
          <w:szCs w:val="28"/>
        </w:rPr>
        <w:t>Orgány rozhodující v 1. stupni o uznání zahraničního vysokoškolského vzdělání a požadované ověření vysokoškolských diplomů členěných podle států, v nichž bylo vzdělání získáno a vydán vysokoškolský diplom</w:t>
      </w:r>
    </w:p>
    <w:p w:rsidR="00620170" w:rsidRDefault="00620170" w:rsidP="00620170">
      <w:pPr>
        <w:jc w:val="both"/>
        <w:rPr>
          <w:b/>
          <w:bCs/>
        </w:rPr>
      </w:pPr>
    </w:p>
    <w:p w:rsidR="00620170" w:rsidRDefault="00620170" w:rsidP="00620170">
      <w:pPr>
        <w:jc w:val="both"/>
        <w:rPr>
          <w:b/>
          <w:bCs/>
        </w:rPr>
      </w:pPr>
    </w:p>
    <w:p w:rsidR="00620170" w:rsidRDefault="00620170" w:rsidP="0062017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Vysvětlivky:</w:t>
      </w:r>
    </w:p>
    <w:p w:rsidR="00620170" w:rsidRDefault="00620170" w:rsidP="00620170">
      <w:pPr>
        <w:jc w:val="both"/>
        <w:rPr>
          <w:b/>
          <w:bCs/>
          <w:sz w:val="22"/>
          <w:szCs w:val="22"/>
        </w:rPr>
      </w:pPr>
    </w:p>
    <w:p w:rsidR="00620170" w:rsidRDefault="00620170" w:rsidP="00620170">
      <w:pPr>
        <w:pStyle w:val="Zkladntext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MŠMT</w:t>
      </w:r>
      <w:r>
        <w:rPr>
          <w:sz w:val="22"/>
          <w:szCs w:val="22"/>
        </w:rPr>
        <w:t xml:space="preserve"> – o uznání jako orgán 1. stupně rozhoduje Ministerstvo školství, mládeže a tělovýchovy (§ 89 odst. 1 písm. a) zákona o vysokých školách)</w:t>
      </w:r>
    </w:p>
    <w:p w:rsidR="00620170" w:rsidRDefault="00620170" w:rsidP="00620170">
      <w:pPr>
        <w:pStyle w:val="Nadpis1"/>
        <w:jc w:val="both"/>
        <w:rPr>
          <w:b w:val="0"/>
          <w:bCs w:val="0"/>
          <w:sz w:val="22"/>
          <w:szCs w:val="22"/>
        </w:rPr>
      </w:pPr>
      <w:r w:rsidRPr="0029051C">
        <w:rPr>
          <w:sz w:val="22"/>
          <w:szCs w:val="22"/>
        </w:rPr>
        <w:t xml:space="preserve">VVŠ 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- o uznání jako orgán 1. stupně rozhoduje veřejná vysoká škola uskutečňují akreditovaný studijní program (§ 89 odst. 1 písm. b) zákona o vysokých školách)</w:t>
      </w:r>
    </w:p>
    <w:p w:rsidR="00620170" w:rsidRDefault="00620170" w:rsidP="00620170">
      <w:pPr>
        <w:pStyle w:val="Nadpis1"/>
        <w:jc w:val="both"/>
        <w:rPr>
          <w:b w:val="0"/>
          <w:bCs w:val="0"/>
          <w:sz w:val="22"/>
          <w:szCs w:val="22"/>
        </w:rPr>
      </w:pPr>
      <w:r w:rsidRPr="0029051C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– ověření vysokoškolského diplomu Apostilou dle Haagské úmluvy</w:t>
      </w:r>
    </w:p>
    <w:p w:rsidR="00620170" w:rsidRDefault="00620170" w:rsidP="00620170">
      <w:pPr>
        <w:pStyle w:val="Nadpis1"/>
        <w:jc w:val="both"/>
        <w:rPr>
          <w:b w:val="0"/>
          <w:bCs w:val="0"/>
          <w:sz w:val="22"/>
          <w:szCs w:val="22"/>
        </w:rPr>
      </w:pPr>
      <w:r w:rsidRPr="0029051C">
        <w:rPr>
          <w:sz w:val="22"/>
          <w:szCs w:val="22"/>
        </w:rPr>
        <w:t>B</w:t>
      </w:r>
      <w:r>
        <w:rPr>
          <w:b w:val="0"/>
          <w:bCs w:val="0"/>
          <w:sz w:val="22"/>
          <w:szCs w:val="22"/>
        </w:rPr>
        <w:t xml:space="preserve"> – ověření vysokoškolského diplomu se nevyžaduje, existuje smlouva o právní pomoci</w:t>
      </w:r>
    </w:p>
    <w:p w:rsidR="00620170" w:rsidRDefault="00620170" w:rsidP="00620170">
      <w:pPr>
        <w:pStyle w:val="Nadpis1"/>
        <w:jc w:val="both"/>
        <w:rPr>
          <w:b w:val="0"/>
          <w:bCs w:val="0"/>
          <w:sz w:val="22"/>
          <w:szCs w:val="22"/>
        </w:rPr>
      </w:pPr>
      <w:r w:rsidRPr="0029051C">
        <w:rPr>
          <w:sz w:val="22"/>
          <w:szCs w:val="22"/>
        </w:rPr>
        <w:t>L</w:t>
      </w:r>
      <w:r>
        <w:rPr>
          <w:b w:val="0"/>
          <w:bCs w:val="0"/>
          <w:sz w:val="22"/>
          <w:szCs w:val="22"/>
        </w:rPr>
        <w:t xml:space="preserve"> – ověření vysokoškolského diplomu podle § 90 odst. 3 zákona o vysokých školách (tj. cizozemským úřadem nebo Ministerstvem zahraničí cizího státu a zastupitelským úřadem ČR) </w:t>
      </w:r>
    </w:p>
    <w:p w:rsidR="00620170" w:rsidRDefault="00620170" w:rsidP="00620170">
      <w:pPr>
        <w:pStyle w:val="Nadpis1"/>
        <w:jc w:val="both"/>
        <w:rPr>
          <w:sz w:val="22"/>
          <w:szCs w:val="22"/>
        </w:rPr>
      </w:pPr>
    </w:p>
    <w:p w:rsidR="00620170" w:rsidRDefault="00620170" w:rsidP="00620170">
      <w:pPr>
        <w:pStyle w:val="Normlnweb"/>
        <w:spacing w:before="0" w:beforeAutospacing="0" w:after="0" w:afterAutospacing="0"/>
        <w:ind w:right="72"/>
        <w:jc w:val="both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O uznání vysokoškolských diplomů z oblasti vojenství rozhoduje Ministerstvo obrany, z oblasti bezpečnosti sil Ministerstvo vnitra.</w:t>
      </w:r>
    </w:p>
    <w:p w:rsidR="00620170" w:rsidRDefault="00620170" w:rsidP="00620170">
      <w:pPr>
        <w:rPr>
          <w:b/>
          <w:bCs/>
          <w:i/>
          <w:iCs/>
        </w:rPr>
      </w:pPr>
    </w:p>
    <w:p w:rsidR="00620170" w:rsidRDefault="00620170" w:rsidP="00620170">
      <w:pPr>
        <w:rPr>
          <w:b/>
          <w:bCs/>
          <w:i/>
          <w:i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0"/>
        <w:gridCol w:w="1939"/>
        <w:gridCol w:w="1405"/>
      </w:tblGrid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 xml:space="preserve">Stát, </w:t>
            </w:r>
            <w:r w:rsidR="002030AC">
              <w:rPr>
                <w:b/>
                <w:bCs/>
                <w:snapToGrid w:val="0"/>
                <w:color w:val="000000"/>
              </w:rPr>
              <w:t xml:space="preserve">v </w:t>
            </w:r>
            <w:r w:rsidRPr="004E0295">
              <w:rPr>
                <w:b/>
                <w:bCs/>
                <w:snapToGrid w:val="0"/>
                <w:color w:val="000000"/>
              </w:rPr>
              <w:t>němž byl diplom vydán</w:t>
            </w:r>
          </w:p>
          <w:p w:rsidR="00620170" w:rsidRPr="004E0295" w:rsidRDefault="00620170" w:rsidP="00AA1167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>Orgán 1. stupně</w:t>
            </w:r>
          </w:p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 xml:space="preserve">rozhodující o uznání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>Ověření</w:t>
            </w:r>
          </w:p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>diplomu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Afghánistán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Albánie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Alžírsko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lastRenderedPageBreak/>
              <w:t>Americká Samoa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Americké Panenské ostrovy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Andorra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Angola – Portugalsko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Anguilla - Velká Británie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Antarktida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Antigua a Barduba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Americká Samoa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Argentina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Arménie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Aruba – Nizozemí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Austrálie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Ázerbájdžán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Bahamy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Bahrajn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Bailiwick of Guernsey - Velká Británie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Bangladéš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Barbados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Belgie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Belize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Bělorusko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Benin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Bermudy - Velká Británie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Bhútán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Bolivie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Bosna a Hercegovina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Botswana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 xml:space="preserve">Stát, </w:t>
            </w:r>
            <w:r w:rsidR="002030AC">
              <w:rPr>
                <w:b/>
                <w:bCs/>
                <w:snapToGrid w:val="0"/>
                <w:color w:val="000000"/>
              </w:rPr>
              <w:t xml:space="preserve">v </w:t>
            </w:r>
            <w:r w:rsidRPr="004E0295">
              <w:rPr>
                <w:b/>
                <w:bCs/>
                <w:snapToGrid w:val="0"/>
                <w:color w:val="000000"/>
              </w:rPr>
              <w:t>němž byl diplom vydán</w:t>
            </w:r>
          </w:p>
          <w:p w:rsidR="00620170" w:rsidRPr="004E0295" w:rsidRDefault="00620170" w:rsidP="00AA1167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>Orgán 1. stupně</w:t>
            </w:r>
          </w:p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 xml:space="preserve">rozhodující o uznání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>Ověření</w:t>
            </w:r>
          </w:p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>diplomu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Bouvetův ostrov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 xml:space="preserve">Brititish Antarctic Teritory - Velká Británie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Br</w:t>
            </w:r>
            <w:r w:rsidR="002030AC">
              <w:rPr>
                <w:snapToGrid w:val="0"/>
                <w:color w:val="000000"/>
              </w:rPr>
              <w:t xml:space="preserve">itské Panenské ostrovy - Velká </w:t>
            </w:r>
            <w:r w:rsidRPr="004E0295">
              <w:rPr>
                <w:snapToGrid w:val="0"/>
                <w:color w:val="000000"/>
              </w:rPr>
              <w:t>Británie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Brits</w:t>
            </w:r>
            <w:r w:rsidR="002030AC">
              <w:rPr>
                <w:snapToGrid w:val="0"/>
                <w:color w:val="000000"/>
              </w:rPr>
              <w:t xml:space="preserve">ké Šalamounovy ostrovy - Velká </w:t>
            </w:r>
            <w:r w:rsidRPr="004E0295">
              <w:rPr>
                <w:snapToGrid w:val="0"/>
                <w:color w:val="000000"/>
              </w:rPr>
              <w:t>Británie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Brunei Darussalam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Bulharsko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Burkina Faso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Burundi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Ceuta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Cookovy ostrovy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Čad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Černá Hora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Čína (jen Hongkong a Macao)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Dánsko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Dominika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Džibutsko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Egypt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lastRenderedPageBreak/>
              <w:t>Ekvádor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Eritrea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Estonsko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Etiopie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Faerské ostrovy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 xml:space="preserve">Falklandské ostrovy - Velká Británie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Fidži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Filipíny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Finsko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Francie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Francouzské území Affars a Issas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Francouzská jižní území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Francouzská Polynésie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Gabon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Gambie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Ghana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Gibraltar - Velká Británie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Grenada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Grónsko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Gruzie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Guam – USA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Guatemala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Guinea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Guinea-Bissau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Guadelupe – Francie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Guyana – Francie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Haiti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Heardův ostrov a MacDonaldovy ostrovy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Honduras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Chille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Chorvatsko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Indie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Indonésie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 xml:space="preserve">Stát, </w:t>
            </w:r>
            <w:r w:rsidR="002030AC">
              <w:rPr>
                <w:b/>
                <w:bCs/>
                <w:snapToGrid w:val="0"/>
                <w:color w:val="000000"/>
              </w:rPr>
              <w:t xml:space="preserve">v </w:t>
            </w:r>
            <w:r w:rsidRPr="004E0295">
              <w:rPr>
                <w:b/>
                <w:bCs/>
                <w:snapToGrid w:val="0"/>
                <w:color w:val="000000"/>
              </w:rPr>
              <w:t>němž byl diplom vydán</w:t>
            </w:r>
          </w:p>
          <w:p w:rsidR="00620170" w:rsidRPr="004E0295" w:rsidRDefault="00620170" w:rsidP="00AA1167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>Orgán 1. stupně</w:t>
            </w:r>
          </w:p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 xml:space="preserve">rozhodující o uznání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>Ověření</w:t>
            </w:r>
          </w:p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>diplomu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Irák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Irán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Irsko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Island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Itálie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Izrael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Jamajka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Japonsko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Jemen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Jihoafická republika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Jižní Georgie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Jižní Jiřího a Jižní Sendvičův ostrovy - Velká  Británie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Jordánsko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Kajmanské ostrovy - Velká Británie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Kambodža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Kamerun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Kanada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Kapverdy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Katar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Kazachstán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Keňa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Kiribati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Kolumbie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Komorské ostrovy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Kongo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Kongo, demokratická republika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Korea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Korea lidově demokratická republika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Kostarika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Kréta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Kuba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Kuvajt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Kypr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Kyrgyzstán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Laos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Lesotho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Libanon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Libérie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Libyie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Lichtenštějnsko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Litva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Lotyšsko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Lucembursko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Macao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Madagaskar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Maďarsko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MŠMT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Makedonie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Malajsie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Malawi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Maledivy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>Stát,</w:t>
            </w:r>
            <w:r w:rsidR="002030AC">
              <w:rPr>
                <w:b/>
                <w:bCs/>
                <w:snapToGrid w:val="0"/>
                <w:color w:val="000000"/>
              </w:rPr>
              <w:t xml:space="preserve"> v</w:t>
            </w:r>
            <w:r w:rsidRPr="004E0295">
              <w:rPr>
                <w:b/>
                <w:bCs/>
                <w:snapToGrid w:val="0"/>
                <w:color w:val="000000"/>
              </w:rPr>
              <w:t xml:space="preserve"> němž byl diplom vydán</w:t>
            </w:r>
          </w:p>
          <w:p w:rsidR="00620170" w:rsidRPr="004E0295" w:rsidRDefault="00620170" w:rsidP="00AA1167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>Orgán 1. stupně</w:t>
            </w:r>
          </w:p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 xml:space="preserve">rozhodující o uznání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>Ověření</w:t>
            </w:r>
          </w:p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>diplomu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Mali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Malta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Maroko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Marshallovy ostrovy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Martinik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Mauritius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Mauretánie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Mayotte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Melilla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Menší odlehlé ostrovy USA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Mexiko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Mikronésie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Moldávie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Monako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Mongolsko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Montserrat - Velká Británie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Mosambik – Portugalsko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Myanmar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Namibie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Nauru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Německo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MŠMT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Nepál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Niger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Nigérie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Nikaragua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Niue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Nizozemské Antily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Nizozemí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Norfolk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Norsko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Nová Kaledonie – Francie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Nový Zéland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Omán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2030AC" w:rsidP="00AA116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Ostrov Man - Velká </w:t>
            </w:r>
            <w:r w:rsidR="00620170" w:rsidRPr="004E0295">
              <w:rPr>
                <w:snapToGrid w:val="0"/>
                <w:color w:val="000000"/>
              </w:rPr>
              <w:t>Británie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 xml:space="preserve">VVŠ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Pákistán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Palau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Panama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Panenské ostrovy – Velká Británie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Papua Nová Guinea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Paraguay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Peru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Pitcaim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Pobřeží slonoviny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Polsko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MŠMT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Portugalsko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Puerto Rico – USA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Rakousko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Réunion – Francie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Rovníková Guinea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Rumunsko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Ruská federace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>Stát,</w:t>
            </w:r>
            <w:r w:rsidR="002030AC">
              <w:rPr>
                <w:b/>
                <w:bCs/>
                <w:snapToGrid w:val="0"/>
                <w:color w:val="000000"/>
              </w:rPr>
              <w:t xml:space="preserve"> v </w:t>
            </w:r>
            <w:r w:rsidRPr="004E0295">
              <w:rPr>
                <w:b/>
                <w:bCs/>
                <w:snapToGrid w:val="0"/>
                <w:color w:val="000000"/>
              </w:rPr>
              <w:t>němž byl diplom vydán</w:t>
            </w:r>
          </w:p>
          <w:p w:rsidR="00620170" w:rsidRPr="004E0295" w:rsidRDefault="00620170" w:rsidP="00AA1167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>Orgán 1. stupně</w:t>
            </w:r>
          </w:p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 xml:space="preserve">rozhodující o uznání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>Ověření</w:t>
            </w:r>
          </w:p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>diplomu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Rwanda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Řecko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Salvador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Samoa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San Marino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Saúdská Arábie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Senegal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Severní Mariany – USA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Seychely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Sierra Leone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Singapur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Slovinsko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MŠMT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Somálsko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Spojené arabské emiráty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 xml:space="preserve">Srbsko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Srí Lanka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Středoafrická republika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Súdán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Suriname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Svatá Helena - Velká Británie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Svatá Lucie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Svatý Kryštof a Nevis – Francie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Svatý Pierre a Miguelon – Francie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Svatý Tomáš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Svatý Vincenc a Grenadiny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Svazijsko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Sýrie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Šalamounovy ostrovy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Španělsko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Švédsko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Švýcarsko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Tádžikistán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Tanzanie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Thajsko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Tchaj-wan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Togo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Tokelau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Tonga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Trinidad a Tobago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Tunisko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Turecko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Turkmenistán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Turks a Caicos Island - Velká Británie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Tuvalu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Uganda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Ukrajina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USA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Uruguay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Uzbekistán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  <w:highlight w:val="yellow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Vánoční ostrov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Vanutu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 xml:space="preserve">Stát, </w:t>
            </w:r>
            <w:r w:rsidR="002030AC">
              <w:rPr>
                <w:b/>
                <w:bCs/>
                <w:snapToGrid w:val="0"/>
                <w:color w:val="000000"/>
              </w:rPr>
              <w:t xml:space="preserve">v </w:t>
            </w:r>
            <w:r w:rsidRPr="004E0295">
              <w:rPr>
                <w:b/>
                <w:bCs/>
                <w:snapToGrid w:val="0"/>
                <w:color w:val="000000"/>
              </w:rPr>
              <w:t>němž byl diplom vydán</w:t>
            </w:r>
          </w:p>
          <w:p w:rsidR="00620170" w:rsidRPr="004E0295" w:rsidRDefault="00620170" w:rsidP="00AA1167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>Orgán 1. stupně</w:t>
            </w:r>
          </w:p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 xml:space="preserve">rozhodující o uznání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>Ověření</w:t>
            </w:r>
          </w:p>
          <w:p w:rsidR="00620170" w:rsidRPr="004E0295" w:rsidRDefault="00620170" w:rsidP="00AA1167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4E0295">
              <w:rPr>
                <w:b/>
                <w:bCs/>
                <w:snapToGrid w:val="0"/>
                <w:color w:val="000000"/>
              </w:rPr>
              <w:t>diplomu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Vatikán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Velká Británie – Persey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Venezuela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Vietnam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B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Východní Timor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Wallis a Futuna – Francie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A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Zambie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  <w:tr w:rsidR="00620170">
        <w:trPr>
          <w:trHeight w:val="25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Zimbabwe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VVŠ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170" w:rsidRPr="004E0295" w:rsidRDefault="00620170" w:rsidP="00AA1167">
            <w:pPr>
              <w:jc w:val="center"/>
              <w:rPr>
                <w:snapToGrid w:val="0"/>
                <w:color w:val="000000"/>
              </w:rPr>
            </w:pPr>
            <w:r w:rsidRPr="004E0295">
              <w:rPr>
                <w:snapToGrid w:val="0"/>
                <w:color w:val="000000"/>
              </w:rPr>
              <w:t>L</w:t>
            </w:r>
          </w:p>
        </w:tc>
      </w:tr>
    </w:tbl>
    <w:p w:rsidR="00620170" w:rsidRDefault="00620170" w:rsidP="00620170">
      <w:pPr>
        <w:rPr>
          <w:b/>
          <w:bCs/>
          <w:i/>
          <w:iCs/>
        </w:rPr>
      </w:pPr>
    </w:p>
    <w:p w:rsidR="00620170" w:rsidRDefault="00620170" w:rsidP="00620170">
      <w:pPr>
        <w:rPr>
          <w:b/>
          <w:bCs/>
          <w:i/>
          <w:iCs/>
        </w:rPr>
      </w:pPr>
    </w:p>
    <w:p w:rsidR="00620170" w:rsidRDefault="00620170" w:rsidP="00620170"/>
    <w:p w:rsidR="0063143A" w:rsidRDefault="0063143A">
      <w:pPr>
        <w:pStyle w:val="NormlnsWWW"/>
        <w:spacing w:before="0" w:after="0"/>
        <w:rPr>
          <w:caps/>
        </w:rPr>
      </w:pPr>
    </w:p>
    <w:sectPr w:rsidR="0063143A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21B9"/>
    <w:multiLevelType w:val="multilevel"/>
    <w:tmpl w:val="DC32F1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364A9"/>
    <w:multiLevelType w:val="multilevel"/>
    <w:tmpl w:val="5D0A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C4684F"/>
    <w:multiLevelType w:val="multilevel"/>
    <w:tmpl w:val="BE7E57D4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3E117B8"/>
    <w:multiLevelType w:val="multilevel"/>
    <w:tmpl w:val="5D0A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CB4D89"/>
    <w:multiLevelType w:val="multilevel"/>
    <w:tmpl w:val="1190283C"/>
    <w:lvl w:ilvl="0">
      <w:start w:val="1"/>
      <w:numFmt w:val="upperRoman"/>
      <w:pStyle w:val="Nadpis2"/>
      <w:lvlText w:val="%1."/>
      <w:lvlJc w:val="right"/>
      <w:pPr>
        <w:tabs>
          <w:tab w:val="num" w:pos="780"/>
        </w:tabs>
        <w:ind w:left="7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347A776B"/>
    <w:multiLevelType w:val="multilevel"/>
    <w:tmpl w:val="5D0A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8B1406"/>
    <w:multiLevelType w:val="multilevel"/>
    <w:tmpl w:val="CB38D9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B50046"/>
    <w:multiLevelType w:val="multilevel"/>
    <w:tmpl w:val="788E5F68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62A81083"/>
    <w:multiLevelType w:val="multilevel"/>
    <w:tmpl w:val="5D0A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9D2C85"/>
    <w:multiLevelType w:val="multilevel"/>
    <w:tmpl w:val="30EC3480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8E4435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6B5D270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6BDB79CA"/>
    <w:multiLevelType w:val="multilevel"/>
    <w:tmpl w:val="0732449A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59"/>
    <w:rsid w:val="00162F2C"/>
    <w:rsid w:val="002030AC"/>
    <w:rsid w:val="002710E0"/>
    <w:rsid w:val="0029051C"/>
    <w:rsid w:val="0030120A"/>
    <w:rsid w:val="004D0D84"/>
    <w:rsid w:val="004E0295"/>
    <w:rsid w:val="005112AA"/>
    <w:rsid w:val="00620170"/>
    <w:rsid w:val="0063143A"/>
    <w:rsid w:val="00767B0F"/>
    <w:rsid w:val="00AA1167"/>
    <w:rsid w:val="00E37896"/>
    <w:rsid w:val="00F4026F"/>
    <w:rsid w:val="00F74E59"/>
    <w:rsid w:val="00F8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numId w:val="7"/>
      </w:numPr>
      <w:outlineLvl w:val="1"/>
    </w:pPr>
    <w:rPr>
      <w:b/>
      <w:bCs/>
    </w:rPr>
  </w:style>
  <w:style w:type="paragraph" w:styleId="Nadpis4">
    <w:name w:val="heading 4"/>
    <w:basedOn w:val="Normln"/>
    <w:link w:val="Nadpis4Char"/>
    <w:uiPriority w:val="99"/>
    <w:qFormat/>
    <w:pPr>
      <w:spacing w:before="100" w:after="100"/>
      <w:outlineLvl w:val="3"/>
    </w:pPr>
    <w:rPr>
      <w:b/>
      <w:bCs/>
      <w:color w:val="808080"/>
      <w:sz w:val="22"/>
      <w:szCs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  <w:cap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customStyle="1" w:styleId="NormlnsWWW">
    <w:name w:val="Normální (síť WWW)"/>
    <w:basedOn w:val="Normln"/>
    <w:uiPriority w:val="99"/>
    <w:pPr>
      <w:spacing w:before="100" w:after="100"/>
    </w:p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3">
    <w:name w:val="Body Text 3"/>
    <w:basedOn w:val="Normln"/>
    <w:link w:val="Zkladntext3Char"/>
    <w:uiPriority w:val="99"/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16"/>
      <w:szCs w:val="16"/>
    </w:rPr>
  </w:style>
  <w:style w:type="paragraph" w:styleId="Normlnweb">
    <w:name w:val="Normal (Web)"/>
    <w:basedOn w:val="Normln"/>
    <w:uiPriority w:val="99"/>
    <w:rsid w:val="00620170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numId w:val="7"/>
      </w:numPr>
      <w:outlineLvl w:val="1"/>
    </w:pPr>
    <w:rPr>
      <w:b/>
      <w:bCs/>
    </w:rPr>
  </w:style>
  <w:style w:type="paragraph" w:styleId="Nadpis4">
    <w:name w:val="heading 4"/>
    <w:basedOn w:val="Normln"/>
    <w:link w:val="Nadpis4Char"/>
    <w:uiPriority w:val="99"/>
    <w:qFormat/>
    <w:pPr>
      <w:spacing w:before="100" w:after="100"/>
      <w:outlineLvl w:val="3"/>
    </w:pPr>
    <w:rPr>
      <w:b/>
      <w:bCs/>
      <w:color w:val="808080"/>
      <w:sz w:val="22"/>
      <w:szCs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  <w:cap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customStyle="1" w:styleId="NormlnsWWW">
    <w:name w:val="Normální (síť WWW)"/>
    <w:basedOn w:val="Normln"/>
    <w:uiPriority w:val="99"/>
    <w:pPr>
      <w:spacing w:before="100" w:after="100"/>
    </w:p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3">
    <w:name w:val="Body Text 3"/>
    <w:basedOn w:val="Normln"/>
    <w:link w:val="Zkladntext3Char"/>
    <w:uiPriority w:val="99"/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16"/>
      <w:szCs w:val="16"/>
    </w:rPr>
  </w:style>
  <w:style w:type="paragraph" w:styleId="Normlnweb">
    <w:name w:val="Normal (Web)"/>
    <w:basedOn w:val="Normln"/>
    <w:uiPriority w:val="99"/>
    <w:rsid w:val="00620170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ch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UZNÁVÁNÍ ZAHRANIČNÍHO VYSOKOŠKOLSKÉHO VZDĚLÁNÍ A KVALIFIKACE A UZNÁNÍ DOKLADŮ</vt:lpstr>
    </vt:vector>
  </TitlesOfParts>
  <Company>CSVŠ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UZNÁVÁNÍ ZAHRANIČNÍHO VYSOKOŠKOLSKÉHO VZDĚLÁNÍ A KVALIFIKACE A UZNÁNÍ DOKLADŮ</dc:title>
  <dc:creator>Jana Vašková</dc:creator>
  <cp:lastModifiedBy>POKUSNY UCET,ZAM,CIVT</cp:lastModifiedBy>
  <cp:revision>2</cp:revision>
  <cp:lastPrinted>2005-11-30T13:10:00Z</cp:lastPrinted>
  <dcterms:created xsi:type="dcterms:W3CDTF">2017-08-03T13:47:00Z</dcterms:created>
  <dcterms:modified xsi:type="dcterms:W3CDTF">2017-08-03T13:47:00Z</dcterms:modified>
</cp:coreProperties>
</file>